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E61910"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3C35EB" w:rsidRDefault="003C35EB" w:rsidP="00AC4A99">
            <w:pPr>
              <w:jc w:val="center"/>
              <w:rPr>
                <w:b/>
                <w:color w:val="000000" w:themeColor="text1"/>
                <w:szCs w:val="22"/>
              </w:rPr>
            </w:pPr>
            <w:r w:rsidRPr="003C35EB">
              <w:rPr>
                <w:b/>
                <w:color w:val="000000" w:themeColor="text1"/>
                <w:szCs w:val="22"/>
              </w:rPr>
              <w:t>Planning Committee</w:t>
            </w:r>
          </w:p>
        </w:tc>
        <w:tc>
          <w:tcPr>
            <w:tcW w:w="2268" w:type="dxa"/>
            <w:gridSpan w:val="2"/>
            <w:tcBorders>
              <w:bottom w:val="nil"/>
            </w:tcBorders>
            <w:vAlign w:val="center"/>
          </w:tcPr>
          <w:p w:rsidR="002F5C5E" w:rsidRPr="003C35EB" w:rsidRDefault="003C35EB" w:rsidP="0047741D">
            <w:pPr>
              <w:jc w:val="center"/>
              <w:rPr>
                <w:b/>
                <w:color w:val="000000" w:themeColor="text1"/>
              </w:rPr>
            </w:pPr>
            <w:r w:rsidRPr="003C35EB">
              <w:rPr>
                <w:b/>
                <w:color w:val="000000" w:themeColor="text1"/>
              </w:rPr>
              <w:t>25</w:t>
            </w:r>
            <w:r w:rsidRPr="003C35EB">
              <w:rPr>
                <w:b/>
                <w:color w:val="000000" w:themeColor="text1"/>
                <w:vertAlign w:val="superscript"/>
              </w:rPr>
              <w:t>th</w:t>
            </w:r>
            <w:r w:rsidRPr="003C35EB">
              <w:rPr>
                <w:b/>
                <w:color w:val="000000" w:themeColor="text1"/>
              </w:rPr>
              <w:t xml:space="preserve"> April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3C35EB" w:rsidRDefault="0047741D" w:rsidP="00E2196F">
            <w:pPr>
              <w:rPr>
                <w:b/>
                <w:color w:val="000000" w:themeColor="text1"/>
              </w:rPr>
            </w:pPr>
          </w:p>
          <w:p w:rsidR="0047741D" w:rsidRPr="003C35EB" w:rsidRDefault="003C35EB" w:rsidP="00E2196F">
            <w:pPr>
              <w:jc w:val="center"/>
              <w:rPr>
                <w:b/>
                <w:color w:val="000000" w:themeColor="text1"/>
              </w:rPr>
            </w:pPr>
            <w:bookmarkStart w:id="0" w:name="_GoBack"/>
            <w:r w:rsidRPr="003C35EB">
              <w:rPr>
                <w:b/>
                <w:color w:val="000000" w:themeColor="text1"/>
              </w:rPr>
              <w:t>Planning Service End of Year Performance Report 2017/18</w:t>
            </w:r>
          </w:p>
          <w:bookmarkEnd w:id="0"/>
          <w:p w:rsidR="003C35EB" w:rsidRPr="003C35EB" w:rsidRDefault="003C35EB" w:rsidP="00E2196F">
            <w:pPr>
              <w:jc w:val="center"/>
              <w:rPr>
                <w:b/>
                <w:color w:val="000000" w:themeColor="text1"/>
              </w:rPr>
            </w:pPr>
          </w:p>
        </w:tc>
        <w:tc>
          <w:tcPr>
            <w:tcW w:w="2977" w:type="dxa"/>
            <w:gridSpan w:val="2"/>
            <w:vAlign w:val="center"/>
          </w:tcPr>
          <w:p w:rsidR="0047741D" w:rsidRPr="003C35EB" w:rsidRDefault="003C35EB" w:rsidP="003C35EB">
            <w:pPr>
              <w:jc w:val="center"/>
              <w:rPr>
                <w:b/>
                <w:color w:val="000000" w:themeColor="text1"/>
              </w:rPr>
            </w:pPr>
            <w:r w:rsidRPr="003C35EB">
              <w:rPr>
                <w:b/>
                <w:color w:val="000000" w:themeColor="text1"/>
              </w:rPr>
              <w:t>Director of Planning and Property</w:t>
            </w:r>
          </w:p>
        </w:tc>
      </w:tr>
    </w:tbl>
    <w:p w:rsidR="002F5C5E" w:rsidRPr="009E2B84" w:rsidRDefault="002F5C5E" w:rsidP="002F5C5E"/>
    <w:p w:rsidR="00EB2D32" w:rsidRPr="009C1143" w:rsidRDefault="00EB2D32" w:rsidP="002F5C5E">
      <w:pPr>
        <w:rPr>
          <w:sz w:val="16"/>
          <w:szCs w:val="16"/>
        </w:rPr>
      </w:pPr>
    </w:p>
    <w:p w:rsidR="002F5C5E" w:rsidRDefault="002F5C5E" w:rsidP="006A513F">
      <w:pPr>
        <w:keepNext/>
        <w:numPr>
          <w:ilvl w:val="0"/>
          <w:numId w:val="8"/>
        </w:numPr>
        <w:ind w:left="567" w:hanging="567"/>
        <w:outlineLvl w:val="0"/>
        <w:rPr>
          <w:b/>
          <w:szCs w:val="22"/>
        </w:rPr>
      </w:pPr>
      <w:r w:rsidRPr="009C1143">
        <w:rPr>
          <w:b/>
          <w:szCs w:val="22"/>
        </w:rPr>
        <w:t>PURPOSE OF THE REPORT</w:t>
      </w:r>
    </w:p>
    <w:p w:rsidR="00D035E2" w:rsidRPr="00D035E2" w:rsidRDefault="00D035E2" w:rsidP="006A513F">
      <w:pPr>
        <w:keepNext/>
        <w:ind w:left="567" w:hanging="567"/>
        <w:outlineLvl w:val="0"/>
        <w:rPr>
          <w:szCs w:val="22"/>
        </w:rPr>
      </w:pPr>
    </w:p>
    <w:p w:rsidR="00D035E2" w:rsidRPr="00D035E2" w:rsidRDefault="00D035E2" w:rsidP="006A513F">
      <w:pPr>
        <w:keepNext/>
        <w:ind w:left="567" w:hanging="567"/>
        <w:outlineLvl w:val="0"/>
        <w:rPr>
          <w:szCs w:val="22"/>
        </w:rPr>
      </w:pPr>
      <w:r w:rsidRPr="00D035E2">
        <w:rPr>
          <w:szCs w:val="22"/>
        </w:rPr>
        <w:t>1.1</w:t>
      </w:r>
      <w:r w:rsidRPr="00D035E2">
        <w:rPr>
          <w:szCs w:val="22"/>
        </w:rPr>
        <w:tab/>
      </w:r>
      <w:r w:rsidR="00A1647E">
        <w:rPr>
          <w:szCs w:val="22"/>
        </w:rPr>
        <w:t>To update Planning Committee on the performance of the Planning Service for the year 2017-2018</w:t>
      </w:r>
    </w:p>
    <w:p w:rsidR="002F5C5E" w:rsidRPr="009C1143" w:rsidRDefault="002F5C5E" w:rsidP="006A513F">
      <w:pPr>
        <w:ind w:left="567" w:hanging="567"/>
        <w:rPr>
          <w:szCs w:val="22"/>
        </w:rPr>
      </w:pPr>
    </w:p>
    <w:p w:rsidR="002F5C5E" w:rsidRDefault="002F5C5E" w:rsidP="006A513F">
      <w:pPr>
        <w:keepNext/>
        <w:numPr>
          <w:ilvl w:val="0"/>
          <w:numId w:val="8"/>
        </w:numPr>
        <w:ind w:left="567" w:hanging="567"/>
        <w:outlineLvl w:val="0"/>
        <w:rPr>
          <w:b/>
          <w:szCs w:val="22"/>
        </w:rPr>
      </w:pPr>
      <w:r w:rsidRPr="009C1143">
        <w:rPr>
          <w:b/>
          <w:szCs w:val="22"/>
        </w:rPr>
        <w:t>RECOMMENDATIONS</w:t>
      </w:r>
    </w:p>
    <w:p w:rsidR="000B5251" w:rsidRPr="009C1143" w:rsidRDefault="000B5251" w:rsidP="006A513F">
      <w:pPr>
        <w:keepNext/>
        <w:ind w:left="567" w:hanging="567"/>
        <w:outlineLvl w:val="0"/>
        <w:rPr>
          <w:b/>
          <w:szCs w:val="22"/>
        </w:rPr>
      </w:pPr>
    </w:p>
    <w:p w:rsidR="002F5C5E" w:rsidRPr="009C1143" w:rsidRDefault="002F5C5E" w:rsidP="006A513F">
      <w:pPr>
        <w:ind w:left="567" w:hanging="567"/>
        <w:rPr>
          <w:i/>
          <w:color w:val="2E74B5"/>
          <w:szCs w:val="22"/>
        </w:rPr>
      </w:pPr>
      <w:r w:rsidRPr="00525728">
        <w:rPr>
          <w:szCs w:val="22"/>
        </w:rPr>
        <w:t>2.1</w:t>
      </w:r>
      <w:r w:rsidR="00D035E2">
        <w:rPr>
          <w:szCs w:val="22"/>
        </w:rPr>
        <w:tab/>
        <w:t>That Planning Committee note the performance of the Planning team for 2017/18.</w:t>
      </w:r>
    </w:p>
    <w:p w:rsidR="002F5C5E" w:rsidRPr="009C1143" w:rsidRDefault="002F5C5E" w:rsidP="002162B3">
      <w:pPr>
        <w:rPr>
          <w:szCs w:val="22"/>
        </w:rPr>
      </w:pPr>
    </w:p>
    <w:p w:rsidR="002F5C5E" w:rsidRDefault="002F5C5E" w:rsidP="00A1647E">
      <w:pPr>
        <w:keepNext/>
        <w:numPr>
          <w:ilvl w:val="0"/>
          <w:numId w:val="8"/>
        </w:numPr>
        <w:ind w:left="567" w:hanging="567"/>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A1647E">
      <w:pPr>
        <w:keepNext/>
        <w:ind w:left="567"/>
        <w:outlineLvl w:val="0"/>
        <w:rPr>
          <w:i/>
          <w:color w:val="2E74B5"/>
          <w:szCs w:val="22"/>
        </w:rPr>
      </w:pPr>
      <w:r w:rsidRPr="009C1143">
        <w:rPr>
          <w:szCs w:val="22"/>
        </w:rPr>
        <w:t>The report relates to the following corporate priorities</w:t>
      </w:r>
      <w:r>
        <w:rPr>
          <w:szCs w:val="22"/>
        </w:rPr>
        <w:t>:</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D035E2" w:rsidRDefault="00772B9C" w:rsidP="000E4458">
            <w:pPr>
              <w:rPr>
                <w:szCs w:val="22"/>
              </w:rPr>
            </w:pPr>
            <w:r w:rsidRPr="00D035E2">
              <w:rPr>
                <w:szCs w:val="22"/>
              </w:rPr>
              <w:t>Excellence and Financial Sustainability</w:t>
            </w:r>
          </w:p>
          <w:p w:rsidR="00772B9C" w:rsidRPr="00D035E2" w:rsidRDefault="00772B9C" w:rsidP="000E4458">
            <w:pPr>
              <w:rPr>
                <w:szCs w:val="22"/>
              </w:rPr>
            </w:pPr>
          </w:p>
        </w:tc>
        <w:tc>
          <w:tcPr>
            <w:tcW w:w="850" w:type="dxa"/>
            <w:shd w:val="clear" w:color="auto" w:fill="auto"/>
          </w:tcPr>
          <w:p w:rsidR="00772B9C" w:rsidRPr="00D035E2" w:rsidRDefault="00D035E2" w:rsidP="000E4458">
            <w:pPr>
              <w:rPr>
                <w:szCs w:val="22"/>
              </w:rPr>
            </w:pPr>
            <w:r w:rsidRPr="00D035E2">
              <w:rPr>
                <w:szCs w:val="22"/>
              </w:rPr>
              <w:t>X</w:t>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A1647E" w:rsidP="000E4458">
            <w:pPr>
              <w:rPr>
                <w:szCs w:val="22"/>
              </w:rPr>
            </w:pPr>
            <w:r>
              <w:rPr>
                <w:szCs w:val="22"/>
              </w:rPr>
              <w:t>X</w:t>
            </w: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Pr="009C1143" w:rsidRDefault="00772B9C" w:rsidP="002F5C5E">
      <w:pPr>
        <w:rPr>
          <w:szCs w:val="22"/>
        </w:rPr>
      </w:pPr>
    </w:p>
    <w:p w:rsidR="002F5C5E" w:rsidRDefault="00A1647E" w:rsidP="00A1647E">
      <w:pPr>
        <w:ind w:left="567" w:hanging="567"/>
        <w:rPr>
          <w:b/>
          <w:szCs w:val="22"/>
        </w:rPr>
      </w:pPr>
      <w:r>
        <w:rPr>
          <w:b/>
          <w:szCs w:val="22"/>
        </w:rPr>
        <w:t>4</w:t>
      </w:r>
      <w:r w:rsidR="002F5C5E" w:rsidRPr="009C1143">
        <w:rPr>
          <w:b/>
          <w:szCs w:val="22"/>
        </w:rPr>
        <w:t xml:space="preserve">.   </w:t>
      </w:r>
      <w:r>
        <w:rPr>
          <w:b/>
          <w:szCs w:val="22"/>
        </w:rPr>
        <w:tab/>
      </w:r>
      <w:r w:rsidR="002F5C5E" w:rsidRPr="009C1143">
        <w:rPr>
          <w:b/>
          <w:szCs w:val="22"/>
        </w:rPr>
        <w:t>BACKGROUND TO THE REPORT</w:t>
      </w:r>
    </w:p>
    <w:p w:rsidR="00A1647E" w:rsidRDefault="00A1647E" w:rsidP="002F5C5E">
      <w:pPr>
        <w:rPr>
          <w:b/>
          <w:szCs w:val="22"/>
        </w:rPr>
      </w:pPr>
    </w:p>
    <w:p w:rsidR="00A1647E" w:rsidRPr="00A1647E" w:rsidRDefault="00A1647E" w:rsidP="00A1647E">
      <w:pPr>
        <w:ind w:left="567" w:hanging="567"/>
        <w:jc w:val="both"/>
      </w:pPr>
      <w:r>
        <w:t>4.1</w:t>
      </w:r>
      <w:r>
        <w:tab/>
        <w:t>The Planning Service continues to perform highly and is one of the top performing planning departments in the Country. The planning service has key performance measures against which it is judged. Central Government produce reports on the performance of planning authorities and have introduced specific measures whereby poor performing authorities can be placed in special measures. It is therefore important that the Planning Service continues to perform highly to deliver the future growth of the Borough and facilitate the implementation of corporate priorities.</w:t>
      </w:r>
    </w:p>
    <w:p w:rsidR="00525728" w:rsidRPr="009C1143" w:rsidRDefault="00525728" w:rsidP="000B5251">
      <w:pPr>
        <w:rPr>
          <w:i/>
          <w:color w:val="2E74B5"/>
          <w:szCs w:val="22"/>
        </w:rPr>
      </w:pPr>
    </w:p>
    <w:p w:rsidR="002F5C5E" w:rsidRDefault="00A1647E" w:rsidP="00A1647E">
      <w:pPr>
        <w:ind w:left="567" w:hanging="567"/>
        <w:rPr>
          <w:b/>
          <w:szCs w:val="22"/>
        </w:rPr>
      </w:pPr>
      <w:r>
        <w:rPr>
          <w:b/>
          <w:szCs w:val="22"/>
        </w:rPr>
        <w:t>5</w:t>
      </w:r>
      <w:r w:rsidR="001938D6">
        <w:rPr>
          <w:b/>
          <w:szCs w:val="22"/>
        </w:rPr>
        <w:t xml:space="preserve">.   </w:t>
      </w:r>
      <w:r>
        <w:rPr>
          <w:b/>
          <w:szCs w:val="22"/>
        </w:rPr>
        <w:tab/>
      </w:r>
      <w:r w:rsidR="002F5C5E" w:rsidRPr="009C1143">
        <w:rPr>
          <w:b/>
          <w:szCs w:val="22"/>
        </w:rPr>
        <w:t>DETAIL</w:t>
      </w:r>
    </w:p>
    <w:p w:rsidR="001938D6" w:rsidRDefault="001938D6" w:rsidP="002F5C5E">
      <w:pPr>
        <w:rPr>
          <w:b/>
          <w:szCs w:val="22"/>
        </w:rPr>
      </w:pPr>
    </w:p>
    <w:p w:rsidR="00A1647E" w:rsidRPr="006D6AF4" w:rsidRDefault="00A1647E" w:rsidP="00A1647E">
      <w:pPr>
        <w:ind w:firstLine="567"/>
        <w:rPr>
          <w:b/>
          <w:i/>
        </w:rPr>
      </w:pPr>
      <w:r w:rsidRPr="006D6AF4">
        <w:rPr>
          <w:b/>
          <w:i/>
        </w:rPr>
        <w:t>Development Management</w:t>
      </w:r>
    </w:p>
    <w:p w:rsidR="00A1647E" w:rsidRDefault="00A1647E" w:rsidP="00A1647E"/>
    <w:p w:rsidR="00A1647E" w:rsidRDefault="00A1647E" w:rsidP="00A1647E">
      <w:pPr>
        <w:ind w:left="567" w:hanging="567"/>
        <w:jc w:val="both"/>
      </w:pPr>
      <w:r>
        <w:t>5.1</w:t>
      </w:r>
      <w:r>
        <w:tab/>
        <w:t xml:space="preserve">The Development Management function of the Planning Service focuses on the processing and deliberation of planning applications, advertisement and listed building consents. It also deals with planning enforcement matters and representing the Councils position at planning </w:t>
      </w:r>
      <w:proofErr w:type="gramStart"/>
      <w:r>
        <w:t>appeals</w:t>
      </w:r>
      <w:proofErr w:type="gramEnd"/>
      <w:r>
        <w:t xml:space="preserve">. Key performance targets are identified by central government regarding the speed of processing planning applications. For major developments the target is that these will be processed within 13 weeks of validation or less (16 weeks for developments requiring an </w:t>
      </w:r>
      <w:r>
        <w:lastRenderedPageBreak/>
        <w:t>Environmental Impact Assessment). For other developments this target is that they will be processed within 8 weeks of validation. The tables below summarise the performance to date.</w:t>
      </w:r>
    </w:p>
    <w:p w:rsidR="00A1647E" w:rsidRDefault="00A1647E" w:rsidP="00A1647E">
      <w:pPr>
        <w:jc w:val="both"/>
      </w:pPr>
    </w:p>
    <w:p w:rsidR="00A1647E" w:rsidRPr="00DB5B28" w:rsidRDefault="00A1647E" w:rsidP="002162B3">
      <w:pPr>
        <w:ind w:firstLine="567"/>
        <w:jc w:val="both"/>
        <w:rPr>
          <w:b/>
          <w:sz w:val="20"/>
        </w:rPr>
      </w:pPr>
      <w:r w:rsidRPr="00DB5B28">
        <w:rPr>
          <w:b/>
          <w:sz w:val="20"/>
        </w:rPr>
        <w:t>Table 1 Number of Applications Received</w:t>
      </w:r>
    </w:p>
    <w:tbl>
      <w:tblPr>
        <w:tblStyle w:val="TableGrid"/>
        <w:tblW w:w="9072" w:type="dxa"/>
        <w:tblInd w:w="562" w:type="dxa"/>
        <w:tblLayout w:type="fixed"/>
        <w:tblLook w:val="04A0" w:firstRow="1" w:lastRow="0" w:firstColumn="1" w:lastColumn="0" w:noHBand="0" w:noVBand="1"/>
      </w:tblPr>
      <w:tblGrid>
        <w:gridCol w:w="2127"/>
        <w:gridCol w:w="992"/>
        <w:gridCol w:w="992"/>
        <w:gridCol w:w="992"/>
        <w:gridCol w:w="992"/>
        <w:gridCol w:w="992"/>
        <w:gridCol w:w="992"/>
        <w:gridCol w:w="993"/>
      </w:tblGrid>
      <w:tr w:rsidR="00A1647E" w:rsidRPr="00FF4B54" w:rsidTr="002162B3">
        <w:tc>
          <w:tcPr>
            <w:tcW w:w="2127" w:type="dxa"/>
            <w:shd w:val="clear" w:color="auto" w:fill="E7E6E6" w:themeFill="background2"/>
          </w:tcPr>
          <w:p w:rsidR="00A1647E" w:rsidRPr="009460C5" w:rsidRDefault="00A1647E" w:rsidP="00475020">
            <w:pPr>
              <w:rPr>
                <w:sz w:val="20"/>
              </w:rPr>
            </w:pPr>
          </w:p>
        </w:tc>
        <w:tc>
          <w:tcPr>
            <w:tcW w:w="992" w:type="dxa"/>
            <w:shd w:val="clear" w:color="auto" w:fill="E7E6E6" w:themeFill="background2"/>
          </w:tcPr>
          <w:p w:rsidR="00A1647E" w:rsidRDefault="00A1647E" w:rsidP="00475020">
            <w:pPr>
              <w:jc w:val="center"/>
              <w:rPr>
                <w:b/>
                <w:sz w:val="20"/>
              </w:rPr>
            </w:pPr>
            <w:r>
              <w:rPr>
                <w:b/>
                <w:sz w:val="20"/>
              </w:rPr>
              <w:t>2015/16 Total</w:t>
            </w:r>
          </w:p>
        </w:tc>
        <w:tc>
          <w:tcPr>
            <w:tcW w:w="992" w:type="dxa"/>
            <w:shd w:val="clear" w:color="auto" w:fill="E7E6E6" w:themeFill="background2"/>
          </w:tcPr>
          <w:p w:rsidR="00A1647E" w:rsidRPr="00FF4B54" w:rsidRDefault="00A1647E" w:rsidP="00475020">
            <w:pPr>
              <w:jc w:val="center"/>
              <w:rPr>
                <w:b/>
                <w:sz w:val="20"/>
              </w:rPr>
            </w:pPr>
            <w:r>
              <w:rPr>
                <w:b/>
                <w:sz w:val="20"/>
              </w:rPr>
              <w:t>2016/17 Total</w:t>
            </w:r>
          </w:p>
        </w:tc>
        <w:tc>
          <w:tcPr>
            <w:tcW w:w="992" w:type="dxa"/>
            <w:shd w:val="clear" w:color="auto" w:fill="E7E6E6" w:themeFill="background2"/>
          </w:tcPr>
          <w:p w:rsidR="00A1647E" w:rsidRPr="00FF4B54" w:rsidRDefault="00A1647E" w:rsidP="00475020">
            <w:pPr>
              <w:jc w:val="center"/>
              <w:rPr>
                <w:b/>
                <w:sz w:val="20"/>
              </w:rPr>
            </w:pPr>
            <w:r>
              <w:rPr>
                <w:b/>
                <w:sz w:val="20"/>
              </w:rPr>
              <w:t>Q1 2017/18</w:t>
            </w:r>
          </w:p>
        </w:tc>
        <w:tc>
          <w:tcPr>
            <w:tcW w:w="992" w:type="dxa"/>
            <w:shd w:val="clear" w:color="auto" w:fill="E7E6E6" w:themeFill="background2"/>
          </w:tcPr>
          <w:p w:rsidR="00A1647E" w:rsidRPr="00FF4B54" w:rsidRDefault="00A1647E" w:rsidP="00475020">
            <w:pPr>
              <w:jc w:val="center"/>
              <w:rPr>
                <w:b/>
                <w:sz w:val="20"/>
              </w:rPr>
            </w:pPr>
            <w:r>
              <w:rPr>
                <w:b/>
                <w:sz w:val="20"/>
              </w:rPr>
              <w:t>Q2 2017/18</w:t>
            </w:r>
          </w:p>
        </w:tc>
        <w:tc>
          <w:tcPr>
            <w:tcW w:w="992" w:type="dxa"/>
            <w:shd w:val="clear" w:color="auto" w:fill="E7E6E6" w:themeFill="background2"/>
          </w:tcPr>
          <w:p w:rsidR="00A1647E" w:rsidRPr="00FF4B54" w:rsidRDefault="00A1647E" w:rsidP="00475020">
            <w:pPr>
              <w:jc w:val="center"/>
              <w:rPr>
                <w:b/>
                <w:sz w:val="20"/>
              </w:rPr>
            </w:pPr>
            <w:r>
              <w:rPr>
                <w:b/>
                <w:sz w:val="20"/>
              </w:rPr>
              <w:t>Q3 2017/18</w:t>
            </w:r>
          </w:p>
        </w:tc>
        <w:tc>
          <w:tcPr>
            <w:tcW w:w="992" w:type="dxa"/>
            <w:shd w:val="clear" w:color="auto" w:fill="E7E6E6" w:themeFill="background2"/>
          </w:tcPr>
          <w:p w:rsidR="00A1647E" w:rsidRPr="00FF4B54" w:rsidRDefault="00A1647E" w:rsidP="00475020">
            <w:pPr>
              <w:jc w:val="center"/>
              <w:rPr>
                <w:b/>
                <w:sz w:val="20"/>
              </w:rPr>
            </w:pPr>
            <w:r>
              <w:rPr>
                <w:b/>
                <w:sz w:val="20"/>
              </w:rPr>
              <w:t>Q4 2017/18</w:t>
            </w:r>
          </w:p>
        </w:tc>
        <w:tc>
          <w:tcPr>
            <w:tcW w:w="993" w:type="dxa"/>
            <w:shd w:val="clear" w:color="auto" w:fill="E7E6E6" w:themeFill="background2"/>
          </w:tcPr>
          <w:p w:rsidR="00A1647E" w:rsidRPr="00FF4B54" w:rsidRDefault="00A1647E" w:rsidP="00475020">
            <w:pPr>
              <w:jc w:val="center"/>
              <w:rPr>
                <w:b/>
                <w:sz w:val="20"/>
              </w:rPr>
            </w:pPr>
            <w:r>
              <w:rPr>
                <w:b/>
                <w:sz w:val="20"/>
              </w:rPr>
              <w:t>2017/18</w:t>
            </w:r>
            <w:r w:rsidRPr="00FF4B54">
              <w:rPr>
                <w:b/>
                <w:sz w:val="20"/>
              </w:rPr>
              <w:t xml:space="preserve"> Total</w:t>
            </w:r>
          </w:p>
        </w:tc>
      </w:tr>
      <w:tr w:rsidR="00A1647E" w:rsidRPr="00103D74" w:rsidTr="002162B3">
        <w:tc>
          <w:tcPr>
            <w:tcW w:w="2127" w:type="dxa"/>
          </w:tcPr>
          <w:p w:rsidR="00A1647E" w:rsidRPr="00FF4B54" w:rsidRDefault="00A1647E" w:rsidP="00475020">
            <w:pPr>
              <w:rPr>
                <w:b/>
                <w:sz w:val="20"/>
              </w:rPr>
            </w:pPr>
            <w:r>
              <w:rPr>
                <w:b/>
                <w:sz w:val="20"/>
              </w:rPr>
              <w:t>Number of applications received</w:t>
            </w:r>
          </w:p>
        </w:tc>
        <w:tc>
          <w:tcPr>
            <w:tcW w:w="992" w:type="dxa"/>
          </w:tcPr>
          <w:p w:rsidR="00A1647E" w:rsidRPr="00206742" w:rsidRDefault="00A1647E" w:rsidP="00475020">
            <w:pPr>
              <w:jc w:val="center"/>
              <w:rPr>
                <w:rFonts w:cs="Arial"/>
                <w:b/>
                <w:sz w:val="20"/>
              </w:rPr>
            </w:pPr>
            <w:r>
              <w:rPr>
                <w:rFonts w:cs="Arial"/>
                <w:b/>
                <w:sz w:val="20"/>
              </w:rPr>
              <w:t>641</w:t>
            </w:r>
          </w:p>
        </w:tc>
        <w:tc>
          <w:tcPr>
            <w:tcW w:w="992" w:type="dxa"/>
          </w:tcPr>
          <w:p w:rsidR="00A1647E" w:rsidRPr="005D4D2E" w:rsidRDefault="00A1647E" w:rsidP="00475020">
            <w:pPr>
              <w:jc w:val="center"/>
              <w:rPr>
                <w:rFonts w:cs="Arial"/>
                <w:b/>
                <w:sz w:val="20"/>
              </w:rPr>
            </w:pPr>
            <w:r>
              <w:rPr>
                <w:rFonts w:cs="Arial"/>
                <w:b/>
                <w:sz w:val="20"/>
              </w:rPr>
              <w:t>687</w:t>
            </w:r>
          </w:p>
        </w:tc>
        <w:tc>
          <w:tcPr>
            <w:tcW w:w="992" w:type="dxa"/>
            <w:shd w:val="clear" w:color="auto" w:fill="auto"/>
          </w:tcPr>
          <w:p w:rsidR="00A1647E" w:rsidRPr="00F17319" w:rsidRDefault="00A1647E" w:rsidP="00475020">
            <w:pPr>
              <w:jc w:val="center"/>
              <w:rPr>
                <w:rFonts w:cs="Arial"/>
                <w:sz w:val="20"/>
              </w:rPr>
            </w:pPr>
            <w:r w:rsidRPr="00F17319">
              <w:rPr>
                <w:rFonts w:cs="Arial"/>
                <w:sz w:val="20"/>
              </w:rPr>
              <w:t>233</w:t>
            </w:r>
          </w:p>
        </w:tc>
        <w:tc>
          <w:tcPr>
            <w:tcW w:w="992" w:type="dxa"/>
            <w:shd w:val="clear" w:color="auto" w:fill="auto"/>
          </w:tcPr>
          <w:p w:rsidR="00A1647E" w:rsidRPr="00F17319" w:rsidRDefault="00A1647E" w:rsidP="00475020">
            <w:pPr>
              <w:jc w:val="center"/>
              <w:rPr>
                <w:rFonts w:cs="Arial"/>
                <w:sz w:val="20"/>
              </w:rPr>
            </w:pPr>
            <w:r w:rsidRPr="00F17319">
              <w:rPr>
                <w:rFonts w:cs="Arial"/>
                <w:sz w:val="20"/>
              </w:rPr>
              <w:t>201</w:t>
            </w:r>
          </w:p>
        </w:tc>
        <w:tc>
          <w:tcPr>
            <w:tcW w:w="992" w:type="dxa"/>
            <w:shd w:val="clear" w:color="auto" w:fill="auto"/>
          </w:tcPr>
          <w:p w:rsidR="00A1647E" w:rsidRPr="004664E7" w:rsidRDefault="00A1647E" w:rsidP="00475020">
            <w:pPr>
              <w:jc w:val="center"/>
              <w:rPr>
                <w:rFonts w:cs="Arial"/>
                <w:sz w:val="20"/>
              </w:rPr>
            </w:pPr>
            <w:r w:rsidRPr="004664E7">
              <w:rPr>
                <w:rFonts w:cs="Arial"/>
                <w:sz w:val="20"/>
              </w:rPr>
              <w:t>166</w:t>
            </w:r>
          </w:p>
        </w:tc>
        <w:tc>
          <w:tcPr>
            <w:tcW w:w="992" w:type="dxa"/>
            <w:shd w:val="clear" w:color="auto" w:fill="auto"/>
          </w:tcPr>
          <w:p w:rsidR="00A1647E" w:rsidRPr="004664E7" w:rsidRDefault="00A1647E" w:rsidP="00475020">
            <w:pPr>
              <w:jc w:val="center"/>
              <w:rPr>
                <w:rFonts w:cs="Arial"/>
                <w:sz w:val="20"/>
              </w:rPr>
            </w:pPr>
            <w:r w:rsidRPr="004664E7">
              <w:rPr>
                <w:rFonts w:cs="Arial"/>
                <w:sz w:val="20"/>
              </w:rPr>
              <w:t>170</w:t>
            </w:r>
          </w:p>
        </w:tc>
        <w:tc>
          <w:tcPr>
            <w:tcW w:w="993" w:type="dxa"/>
            <w:shd w:val="clear" w:color="auto" w:fill="auto"/>
          </w:tcPr>
          <w:p w:rsidR="00A1647E" w:rsidRPr="004664E7" w:rsidRDefault="00A1647E" w:rsidP="00475020">
            <w:pPr>
              <w:jc w:val="center"/>
              <w:rPr>
                <w:rFonts w:cs="Arial"/>
                <w:b/>
                <w:sz w:val="20"/>
              </w:rPr>
            </w:pPr>
            <w:r w:rsidRPr="004664E7">
              <w:rPr>
                <w:rFonts w:cs="Arial"/>
                <w:b/>
                <w:sz w:val="20"/>
              </w:rPr>
              <w:t>770</w:t>
            </w:r>
          </w:p>
        </w:tc>
      </w:tr>
    </w:tbl>
    <w:p w:rsidR="00A1647E" w:rsidRDefault="00A1647E" w:rsidP="00A1647E">
      <w:pPr>
        <w:jc w:val="both"/>
      </w:pPr>
    </w:p>
    <w:p w:rsidR="00A1647E" w:rsidRDefault="00A1647E" w:rsidP="00A1647E">
      <w:pPr>
        <w:ind w:left="567" w:hanging="567"/>
        <w:jc w:val="both"/>
      </w:pPr>
      <w:r>
        <w:t>5.2</w:t>
      </w:r>
      <w:r>
        <w:tab/>
        <w:t xml:space="preserve">As shown in table 1 the number of applications received at the year-end is much higher than either of the two previous two years. Aligned to this is not just the volume of the work but also the complexity with a number of major or contentious schemes being considered such as Cuerden, Test Track and Brindle </w:t>
      </w:r>
      <w:proofErr w:type="gramStart"/>
      <w:r>
        <w:t>Road.</w:t>
      </w:r>
      <w:proofErr w:type="gramEnd"/>
    </w:p>
    <w:p w:rsidR="00A1647E" w:rsidRDefault="00A1647E" w:rsidP="00A1647E"/>
    <w:p w:rsidR="00A1647E" w:rsidRPr="00FF4B54" w:rsidRDefault="00A1647E" w:rsidP="002162B3">
      <w:pPr>
        <w:ind w:firstLine="567"/>
        <w:rPr>
          <w:b/>
          <w:sz w:val="20"/>
        </w:rPr>
      </w:pPr>
      <w:r>
        <w:rPr>
          <w:b/>
          <w:sz w:val="20"/>
        </w:rPr>
        <w:t>Table 2</w:t>
      </w:r>
      <w:r w:rsidRPr="00FF4B54">
        <w:rPr>
          <w:b/>
          <w:sz w:val="20"/>
        </w:rPr>
        <w:t xml:space="preserve"> Major Applications Performance</w:t>
      </w:r>
    </w:p>
    <w:tbl>
      <w:tblPr>
        <w:tblStyle w:val="TableGrid"/>
        <w:tblW w:w="9072" w:type="dxa"/>
        <w:tblInd w:w="562" w:type="dxa"/>
        <w:tblLayout w:type="fixed"/>
        <w:tblLook w:val="04A0" w:firstRow="1" w:lastRow="0" w:firstColumn="1" w:lastColumn="0" w:noHBand="0" w:noVBand="1"/>
      </w:tblPr>
      <w:tblGrid>
        <w:gridCol w:w="2127"/>
        <w:gridCol w:w="992"/>
        <w:gridCol w:w="992"/>
        <w:gridCol w:w="992"/>
        <w:gridCol w:w="992"/>
        <w:gridCol w:w="992"/>
        <w:gridCol w:w="992"/>
        <w:gridCol w:w="993"/>
      </w:tblGrid>
      <w:tr w:rsidR="00A1647E" w:rsidRPr="009460C5" w:rsidTr="002162B3">
        <w:tc>
          <w:tcPr>
            <w:tcW w:w="2127" w:type="dxa"/>
            <w:shd w:val="clear" w:color="auto" w:fill="E7E6E6" w:themeFill="background2"/>
          </w:tcPr>
          <w:p w:rsidR="00A1647E" w:rsidRPr="009460C5" w:rsidRDefault="00A1647E" w:rsidP="00475020">
            <w:pPr>
              <w:rPr>
                <w:sz w:val="20"/>
              </w:rPr>
            </w:pPr>
          </w:p>
        </w:tc>
        <w:tc>
          <w:tcPr>
            <w:tcW w:w="992" w:type="dxa"/>
            <w:shd w:val="clear" w:color="auto" w:fill="E7E6E6" w:themeFill="background2"/>
          </w:tcPr>
          <w:p w:rsidR="00A1647E" w:rsidRPr="00FF4B54" w:rsidRDefault="00A1647E" w:rsidP="00475020">
            <w:pPr>
              <w:jc w:val="center"/>
              <w:rPr>
                <w:b/>
                <w:sz w:val="20"/>
              </w:rPr>
            </w:pPr>
            <w:r>
              <w:rPr>
                <w:b/>
                <w:sz w:val="20"/>
              </w:rPr>
              <w:t>2015/16 Total</w:t>
            </w:r>
          </w:p>
        </w:tc>
        <w:tc>
          <w:tcPr>
            <w:tcW w:w="992" w:type="dxa"/>
            <w:shd w:val="clear" w:color="auto" w:fill="E7E6E6" w:themeFill="background2"/>
          </w:tcPr>
          <w:p w:rsidR="00A1647E" w:rsidRDefault="00A1647E" w:rsidP="00475020">
            <w:pPr>
              <w:jc w:val="center"/>
              <w:rPr>
                <w:b/>
                <w:sz w:val="20"/>
              </w:rPr>
            </w:pPr>
            <w:r>
              <w:rPr>
                <w:b/>
                <w:sz w:val="20"/>
              </w:rPr>
              <w:t>2016/17 Total</w:t>
            </w:r>
          </w:p>
        </w:tc>
        <w:tc>
          <w:tcPr>
            <w:tcW w:w="992" w:type="dxa"/>
            <w:shd w:val="clear" w:color="auto" w:fill="E7E6E6" w:themeFill="background2"/>
          </w:tcPr>
          <w:p w:rsidR="00A1647E" w:rsidRPr="00FF4B54" w:rsidRDefault="00A1647E" w:rsidP="00475020">
            <w:pPr>
              <w:jc w:val="center"/>
              <w:rPr>
                <w:b/>
                <w:sz w:val="20"/>
              </w:rPr>
            </w:pPr>
            <w:r>
              <w:rPr>
                <w:b/>
                <w:sz w:val="20"/>
              </w:rPr>
              <w:t>Q1 2017/18</w:t>
            </w:r>
          </w:p>
        </w:tc>
        <w:tc>
          <w:tcPr>
            <w:tcW w:w="992" w:type="dxa"/>
            <w:shd w:val="clear" w:color="auto" w:fill="E7E6E6" w:themeFill="background2"/>
          </w:tcPr>
          <w:p w:rsidR="00A1647E" w:rsidRPr="00FF4B54" w:rsidRDefault="00A1647E" w:rsidP="00475020">
            <w:pPr>
              <w:jc w:val="center"/>
              <w:rPr>
                <w:b/>
                <w:sz w:val="20"/>
              </w:rPr>
            </w:pPr>
            <w:r>
              <w:rPr>
                <w:b/>
                <w:sz w:val="20"/>
              </w:rPr>
              <w:t>Q2 2017/18</w:t>
            </w:r>
          </w:p>
        </w:tc>
        <w:tc>
          <w:tcPr>
            <w:tcW w:w="992" w:type="dxa"/>
            <w:shd w:val="clear" w:color="auto" w:fill="E7E6E6" w:themeFill="background2"/>
          </w:tcPr>
          <w:p w:rsidR="00A1647E" w:rsidRPr="00FF4B54" w:rsidRDefault="00A1647E" w:rsidP="00475020">
            <w:pPr>
              <w:jc w:val="center"/>
              <w:rPr>
                <w:b/>
                <w:sz w:val="20"/>
              </w:rPr>
            </w:pPr>
            <w:r>
              <w:rPr>
                <w:b/>
                <w:sz w:val="20"/>
              </w:rPr>
              <w:t>Q3 2017/18</w:t>
            </w:r>
          </w:p>
        </w:tc>
        <w:tc>
          <w:tcPr>
            <w:tcW w:w="992" w:type="dxa"/>
            <w:shd w:val="clear" w:color="auto" w:fill="E7E6E6" w:themeFill="background2"/>
          </w:tcPr>
          <w:p w:rsidR="00A1647E" w:rsidRPr="00FF4B54" w:rsidRDefault="00A1647E" w:rsidP="00475020">
            <w:pPr>
              <w:jc w:val="center"/>
              <w:rPr>
                <w:b/>
                <w:sz w:val="20"/>
              </w:rPr>
            </w:pPr>
            <w:r>
              <w:rPr>
                <w:b/>
                <w:sz w:val="20"/>
              </w:rPr>
              <w:t>Q4 2017/18</w:t>
            </w:r>
          </w:p>
        </w:tc>
        <w:tc>
          <w:tcPr>
            <w:tcW w:w="993" w:type="dxa"/>
            <w:shd w:val="clear" w:color="auto" w:fill="E7E6E6" w:themeFill="background2"/>
          </w:tcPr>
          <w:p w:rsidR="00A1647E" w:rsidRPr="00FF4B54" w:rsidRDefault="00A1647E" w:rsidP="00475020">
            <w:pPr>
              <w:jc w:val="center"/>
              <w:rPr>
                <w:b/>
                <w:sz w:val="20"/>
              </w:rPr>
            </w:pPr>
            <w:r>
              <w:rPr>
                <w:b/>
                <w:sz w:val="20"/>
              </w:rPr>
              <w:t>2017/18</w:t>
            </w:r>
            <w:r w:rsidRPr="00FF4B54">
              <w:rPr>
                <w:b/>
                <w:sz w:val="20"/>
              </w:rPr>
              <w:t xml:space="preserve"> Total</w:t>
            </w:r>
          </w:p>
        </w:tc>
      </w:tr>
      <w:tr w:rsidR="00A1647E" w:rsidRPr="009460C5" w:rsidTr="002162B3">
        <w:tc>
          <w:tcPr>
            <w:tcW w:w="2127" w:type="dxa"/>
          </w:tcPr>
          <w:p w:rsidR="00A1647E" w:rsidRPr="00FF4B54" w:rsidRDefault="00A1647E" w:rsidP="00475020">
            <w:pPr>
              <w:rPr>
                <w:b/>
                <w:sz w:val="20"/>
              </w:rPr>
            </w:pPr>
            <w:r w:rsidRPr="00FF4B54">
              <w:rPr>
                <w:b/>
                <w:sz w:val="20"/>
              </w:rPr>
              <w:t>Number of applications decided upon</w:t>
            </w:r>
          </w:p>
        </w:tc>
        <w:tc>
          <w:tcPr>
            <w:tcW w:w="992" w:type="dxa"/>
          </w:tcPr>
          <w:p w:rsidR="00A1647E" w:rsidRPr="005D4D2E" w:rsidRDefault="00A1647E" w:rsidP="00475020">
            <w:pPr>
              <w:jc w:val="center"/>
              <w:rPr>
                <w:rFonts w:cs="Arial"/>
                <w:b/>
                <w:sz w:val="20"/>
              </w:rPr>
            </w:pPr>
            <w:r w:rsidRPr="005D4D2E">
              <w:rPr>
                <w:rFonts w:cs="Arial"/>
                <w:b/>
                <w:sz w:val="20"/>
              </w:rPr>
              <w:t>21</w:t>
            </w:r>
          </w:p>
        </w:tc>
        <w:tc>
          <w:tcPr>
            <w:tcW w:w="992" w:type="dxa"/>
          </w:tcPr>
          <w:p w:rsidR="00A1647E" w:rsidRPr="006A513F" w:rsidRDefault="00A1647E" w:rsidP="00475020">
            <w:pPr>
              <w:jc w:val="center"/>
              <w:rPr>
                <w:rFonts w:cs="Arial"/>
                <w:b/>
                <w:sz w:val="20"/>
              </w:rPr>
            </w:pPr>
            <w:r w:rsidRPr="006A513F">
              <w:rPr>
                <w:rFonts w:cs="Arial"/>
                <w:b/>
                <w:sz w:val="20"/>
              </w:rPr>
              <w:t>32</w:t>
            </w:r>
          </w:p>
        </w:tc>
        <w:tc>
          <w:tcPr>
            <w:tcW w:w="992" w:type="dxa"/>
          </w:tcPr>
          <w:p w:rsidR="00A1647E" w:rsidRDefault="00A1647E" w:rsidP="00475020">
            <w:pPr>
              <w:jc w:val="center"/>
              <w:rPr>
                <w:rFonts w:cs="Arial"/>
                <w:sz w:val="20"/>
              </w:rPr>
            </w:pPr>
            <w:r>
              <w:rPr>
                <w:rFonts w:cs="Arial"/>
                <w:sz w:val="20"/>
              </w:rPr>
              <w:t>11</w:t>
            </w:r>
          </w:p>
        </w:tc>
        <w:tc>
          <w:tcPr>
            <w:tcW w:w="992" w:type="dxa"/>
            <w:shd w:val="clear" w:color="auto" w:fill="auto"/>
          </w:tcPr>
          <w:p w:rsidR="00A1647E" w:rsidRDefault="00A1647E" w:rsidP="00475020">
            <w:pPr>
              <w:jc w:val="center"/>
              <w:rPr>
                <w:rFonts w:cs="Arial"/>
                <w:sz w:val="20"/>
              </w:rPr>
            </w:pPr>
            <w:r>
              <w:rPr>
                <w:rFonts w:cs="Arial"/>
                <w:sz w:val="20"/>
              </w:rPr>
              <w:t>13</w:t>
            </w:r>
          </w:p>
        </w:tc>
        <w:tc>
          <w:tcPr>
            <w:tcW w:w="992" w:type="dxa"/>
            <w:shd w:val="clear" w:color="auto" w:fill="auto"/>
          </w:tcPr>
          <w:p w:rsidR="00A1647E" w:rsidRDefault="00A1647E" w:rsidP="00475020">
            <w:pPr>
              <w:jc w:val="center"/>
              <w:rPr>
                <w:rFonts w:cs="Arial"/>
                <w:sz w:val="20"/>
              </w:rPr>
            </w:pPr>
            <w:r>
              <w:rPr>
                <w:rFonts w:cs="Arial"/>
                <w:sz w:val="20"/>
              </w:rPr>
              <w:t>10</w:t>
            </w:r>
          </w:p>
        </w:tc>
        <w:tc>
          <w:tcPr>
            <w:tcW w:w="992" w:type="dxa"/>
            <w:shd w:val="clear" w:color="auto" w:fill="auto"/>
          </w:tcPr>
          <w:p w:rsidR="00A1647E" w:rsidRPr="005D4D2E" w:rsidRDefault="00A1647E" w:rsidP="00475020">
            <w:pPr>
              <w:jc w:val="center"/>
              <w:rPr>
                <w:rFonts w:cs="Arial"/>
                <w:sz w:val="20"/>
              </w:rPr>
            </w:pPr>
            <w:r>
              <w:rPr>
                <w:rFonts w:cs="Arial"/>
                <w:sz w:val="20"/>
              </w:rPr>
              <w:t>8</w:t>
            </w:r>
          </w:p>
        </w:tc>
        <w:tc>
          <w:tcPr>
            <w:tcW w:w="993" w:type="dxa"/>
            <w:shd w:val="clear" w:color="auto" w:fill="auto"/>
          </w:tcPr>
          <w:p w:rsidR="00A1647E" w:rsidRPr="003041F0" w:rsidRDefault="00A1647E" w:rsidP="00475020">
            <w:pPr>
              <w:jc w:val="center"/>
              <w:rPr>
                <w:rFonts w:cs="Arial"/>
                <w:b/>
                <w:sz w:val="20"/>
              </w:rPr>
            </w:pPr>
            <w:r>
              <w:rPr>
                <w:rFonts w:cs="Arial"/>
                <w:b/>
                <w:sz w:val="20"/>
              </w:rPr>
              <w:t>42</w:t>
            </w:r>
          </w:p>
        </w:tc>
      </w:tr>
      <w:tr w:rsidR="00A1647E" w:rsidRPr="009460C5" w:rsidTr="002162B3">
        <w:tc>
          <w:tcPr>
            <w:tcW w:w="2127" w:type="dxa"/>
          </w:tcPr>
          <w:p w:rsidR="00A1647E" w:rsidRPr="00FF4B54" w:rsidRDefault="00A1647E" w:rsidP="00475020">
            <w:pPr>
              <w:rPr>
                <w:b/>
                <w:sz w:val="20"/>
              </w:rPr>
            </w:pPr>
            <w:r w:rsidRPr="00FF4B54">
              <w:rPr>
                <w:b/>
                <w:sz w:val="20"/>
              </w:rPr>
              <w:t>Number of applications decided within 13 weeks or agreed time extension</w:t>
            </w:r>
          </w:p>
        </w:tc>
        <w:tc>
          <w:tcPr>
            <w:tcW w:w="992" w:type="dxa"/>
          </w:tcPr>
          <w:p w:rsidR="00A1647E" w:rsidRPr="005D4D2E" w:rsidRDefault="00A1647E" w:rsidP="00475020">
            <w:pPr>
              <w:jc w:val="center"/>
              <w:rPr>
                <w:rFonts w:cs="Arial"/>
                <w:b/>
                <w:sz w:val="20"/>
              </w:rPr>
            </w:pPr>
            <w:r w:rsidRPr="005D4D2E">
              <w:rPr>
                <w:rFonts w:cs="Arial"/>
                <w:b/>
                <w:sz w:val="20"/>
              </w:rPr>
              <w:t>18</w:t>
            </w:r>
          </w:p>
        </w:tc>
        <w:tc>
          <w:tcPr>
            <w:tcW w:w="992" w:type="dxa"/>
          </w:tcPr>
          <w:p w:rsidR="00A1647E" w:rsidRPr="006A513F" w:rsidRDefault="00A1647E" w:rsidP="00475020">
            <w:pPr>
              <w:jc w:val="center"/>
              <w:rPr>
                <w:rFonts w:cs="Arial"/>
                <w:b/>
                <w:sz w:val="20"/>
              </w:rPr>
            </w:pPr>
            <w:r w:rsidRPr="006A513F">
              <w:rPr>
                <w:rFonts w:cs="Arial"/>
                <w:b/>
                <w:sz w:val="20"/>
              </w:rPr>
              <w:t>29</w:t>
            </w:r>
          </w:p>
        </w:tc>
        <w:tc>
          <w:tcPr>
            <w:tcW w:w="992" w:type="dxa"/>
          </w:tcPr>
          <w:p w:rsidR="00A1647E" w:rsidRDefault="00A1647E" w:rsidP="00475020">
            <w:pPr>
              <w:jc w:val="center"/>
              <w:rPr>
                <w:rFonts w:cs="Arial"/>
                <w:sz w:val="20"/>
              </w:rPr>
            </w:pPr>
            <w:r>
              <w:rPr>
                <w:rFonts w:cs="Arial"/>
                <w:sz w:val="20"/>
              </w:rPr>
              <w:t>7</w:t>
            </w:r>
          </w:p>
        </w:tc>
        <w:tc>
          <w:tcPr>
            <w:tcW w:w="992" w:type="dxa"/>
            <w:shd w:val="clear" w:color="auto" w:fill="auto"/>
          </w:tcPr>
          <w:p w:rsidR="00A1647E" w:rsidRDefault="00A1647E" w:rsidP="00475020">
            <w:pPr>
              <w:jc w:val="center"/>
              <w:rPr>
                <w:rFonts w:cs="Arial"/>
                <w:sz w:val="20"/>
              </w:rPr>
            </w:pPr>
            <w:r>
              <w:rPr>
                <w:rFonts w:cs="Arial"/>
                <w:sz w:val="20"/>
              </w:rPr>
              <w:t>12</w:t>
            </w:r>
          </w:p>
        </w:tc>
        <w:tc>
          <w:tcPr>
            <w:tcW w:w="992" w:type="dxa"/>
            <w:shd w:val="clear" w:color="auto" w:fill="auto"/>
          </w:tcPr>
          <w:p w:rsidR="00A1647E" w:rsidRDefault="00A1647E" w:rsidP="00475020">
            <w:pPr>
              <w:jc w:val="center"/>
              <w:rPr>
                <w:rFonts w:cs="Arial"/>
                <w:sz w:val="20"/>
              </w:rPr>
            </w:pPr>
            <w:r>
              <w:rPr>
                <w:rFonts w:cs="Arial"/>
                <w:sz w:val="20"/>
              </w:rPr>
              <w:t>10</w:t>
            </w:r>
          </w:p>
        </w:tc>
        <w:tc>
          <w:tcPr>
            <w:tcW w:w="992" w:type="dxa"/>
            <w:shd w:val="clear" w:color="auto" w:fill="auto"/>
          </w:tcPr>
          <w:p w:rsidR="00A1647E" w:rsidRPr="005D4D2E" w:rsidRDefault="00A1647E" w:rsidP="00475020">
            <w:pPr>
              <w:jc w:val="center"/>
              <w:rPr>
                <w:rFonts w:cs="Arial"/>
                <w:sz w:val="20"/>
              </w:rPr>
            </w:pPr>
            <w:r>
              <w:rPr>
                <w:rFonts w:cs="Arial"/>
                <w:sz w:val="20"/>
              </w:rPr>
              <w:t>6</w:t>
            </w:r>
          </w:p>
        </w:tc>
        <w:tc>
          <w:tcPr>
            <w:tcW w:w="993" w:type="dxa"/>
            <w:shd w:val="clear" w:color="auto" w:fill="auto"/>
          </w:tcPr>
          <w:p w:rsidR="00A1647E" w:rsidRPr="003041F0" w:rsidRDefault="00A1647E" w:rsidP="00475020">
            <w:pPr>
              <w:jc w:val="center"/>
              <w:rPr>
                <w:rFonts w:cs="Arial"/>
                <w:b/>
                <w:sz w:val="20"/>
              </w:rPr>
            </w:pPr>
            <w:r>
              <w:rPr>
                <w:rFonts w:cs="Arial"/>
                <w:b/>
                <w:sz w:val="20"/>
              </w:rPr>
              <w:t>35</w:t>
            </w:r>
          </w:p>
        </w:tc>
      </w:tr>
      <w:tr w:rsidR="00A1647E" w:rsidRPr="009460C5" w:rsidTr="002162B3">
        <w:tc>
          <w:tcPr>
            <w:tcW w:w="2127" w:type="dxa"/>
          </w:tcPr>
          <w:p w:rsidR="00A1647E" w:rsidRPr="00FF4B54" w:rsidRDefault="00A1647E" w:rsidP="00475020">
            <w:pPr>
              <w:rPr>
                <w:b/>
                <w:sz w:val="20"/>
              </w:rPr>
            </w:pPr>
            <w:r w:rsidRPr="00FF4B54">
              <w:rPr>
                <w:b/>
                <w:sz w:val="20"/>
              </w:rPr>
              <w:t>Percentage</w:t>
            </w:r>
            <w:r>
              <w:rPr>
                <w:b/>
                <w:sz w:val="20"/>
              </w:rPr>
              <w:t xml:space="preserve"> within 13</w:t>
            </w:r>
            <w:r w:rsidRPr="00FF4B54">
              <w:rPr>
                <w:b/>
                <w:sz w:val="20"/>
              </w:rPr>
              <w:t xml:space="preserve"> weeks</w:t>
            </w:r>
          </w:p>
        </w:tc>
        <w:tc>
          <w:tcPr>
            <w:tcW w:w="992" w:type="dxa"/>
          </w:tcPr>
          <w:p w:rsidR="00A1647E" w:rsidRPr="005D4D2E" w:rsidRDefault="00A1647E" w:rsidP="00475020">
            <w:pPr>
              <w:jc w:val="center"/>
              <w:rPr>
                <w:rFonts w:cs="Arial"/>
                <w:b/>
                <w:sz w:val="20"/>
              </w:rPr>
            </w:pPr>
            <w:r w:rsidRPr="005D4D2E">
              <w:rPr>
                <w:rFonts w:cs="Arial"/>
                <w:b/>
                <w:sz w:val="20"/>
              </w:rPr>
              <w:t>85.71%</w:t>
            </w:r>
          </w:p>
        </w:tc>
        <w:tc>
          <w:tcPr>
            <w:tcW w:w="992" w:type="dxa"/>
          </w:tcPr>
          <w:p w:rsidR="00A1647E" w:rsidRPr="006A513F" w:rsidRDefault="00A1647E" w:rsidP="00475020">
            <w:pPr>
              <w:jc w:val="center"/>
              <w:rPr>
                <w:rFonts w:cs="Arial"/>
                <w:b/>
                <w:sz w:val="20"/>
              </w:rPr>
            </w:pPr>
            <w:r w:rsidRPr="006A513F">
              <w:rPr>
                <w:rFonts w:cs="Arial"/>
                <w:b/>
                <w:sz w:val="20"/>
              </w:rPr>
              <w:t>90.63%</w:t>
            </w:r>
          </w:p>
        </w:tc>
        <w:tc>
          <w:tcPr>
            <w:tcW w:w="992" w:type="dxa"/>
          </w:tcPr>
          <w:p w:rsidR="00A1647E" w:rsidRDefault="00A1647E" w:rsidP="00475020">
            <w:pPr>
              <w:jc w:val="center"/>
              <w:rPr>
                <w:rFonts w:cs="Arial"/>
                <w:sz w:val="20"/>
              </w:rPr>
            </w:pPr>
            <w:r>
              <w:rPr>
                <w:rFonts w:cs="Arial"/>
                <w:sz w:val="20"/>
              </w:rPr>
              <w:t>63.64%</w:t>
            </w:r>
          </w:p>
        </w:tc>
        <w:tc>
          <w:tcPr>
            <w:tcW w:w="992" w:type="dxa"/>
            <w:shd w:val="clear" w:color="auto" w:fill="auto"/>
          </w:tcPr>
          <w:p w:rsidR="00A1647E" w:rsidRDefault="00A1647E" w:rsidP="00475020">
            <w:pPr>
              <w:jc w:val="center"/>
              <w:rPr>
                <w:rFonts w:cs="Arial"/>
                <w:sz w:val="20"/>
              </w:rPr>
            </w:pPr>
            <w:r>
              <w:rPr>
                <w:rFonts w:cs="Arial"/>
                <w:sz w:val="20"/>
              </w:rPr>
              <w:t>92.31%</w:t>
            </w:r>
          </w:p>
        </w:tc>
        <w:tc>
          <w:tcPr>
            <w:tcW w:w="992" w:type="dxa"/>
            <w:shd w:val="clear" w:color="auto" w:fill="auto"/>
          </w:tcPr>
          <w:p w:rsidR="00A1647E" w:rsidRDefault="00A1647E" w:rsidP="00475020">
            <w:pPr>
              <w:jc w:val="center"/>
              <w:rPr>
                <w:rFonts w:cs="Arial"/>
                <w:sz w:val="20"/>
              </w:rPr>
            </w:pPr>
            <w:r>
              <w:rPr>
                <w:rFonts w:cs="Arial"/>
                <w:sz w:val="20"/>
              </w:rPr>
              <w:t>100%</w:t>
            </w:r>
          </w:p>
        </w:tc>
        <w:tc>
          <w:tcPr>
            <w:tcW w:w="992" w:type="dxa"/>
            <w:shd w:val="clear" w:color="auto" w:fill="auto"/>
          </w:tcPr>
          <w:p w:rsidR="00A1647E" w:rsidRPr="005D4D2E" w:rsidRDefault="00A1647E" w:rsidP="00475020">
            <w:pPr>
              <w:jc w:val="center"/>
              <w:rPr>
                <w:rFonts w:cs="Arial"/>
                <w:sz w:val="20"/>
              </w:rPr>
            </w:pPr>
            <w:r>
              <w:rPr>
                <w:rFonts w:cs="Arial"/>
                <w:sz w:val="20"/>
              </w:rPr>
              <w:t>75%</w:t>
            </w:r>
          </w:p>
        </w:tc>
        <w:tc>
          <w:tcPr>
            <w:tcW w:w="993" w:type="dxa"/>
            <w:shd w:val="clear" w:color="auto" w:fill="auto"/>
          </w:tcPr>
          <w:p w:rsidR="00A1647E" w:rsidRPr="003041F0" w:rsidRDefault="00A1647E" w:rsidP="00475020">
            <w:pPr>
              <w:jc w:val="center"/>
              <w:rPr>
                <w:rFonts w:cs="Arial"/>
                <w:b/>
                <w:sz w:val="20"/>
              </w:rPr>
            </w:pPr>
            <w:r>
              <w:rPr>
                <w:rFonts w:cs="Arial"/>
                <w:b/>
                <w:sz w:val="20"/>
              </w:rPr>
              <w:t>83.3%</w:t>
            </w:r>
          </w:p>
        </w:tc>
      </w:tr>
    </w:tbl>
    <w:p w:rsidR="00A1647E" w:rsidRDefault="00A1647E" w:rsidP="00A1647E"/>
    <w:p w:rsidR="00A1647E" w:rsidRDefault="00A1647E" w:rsidP="00A1647E">
      <w:pPr>
        <w:ind w:left="567" w:hanging="567"/>
        <w:jc w:val="both"/>
      </w:pPr>
      <w:r>
        <w:t>5.3</w:t>
      </w:r>
      <w:r>
        <w:tab/>
        <w:t xml:space="preserve">Performance with regard to major applications continues to be strong. At the </w:t>
      </w:r>
      <w:proofErr w:type="spellStart"/>
      <w:r>
        <w:t>year end</w:t>
      </w:r>
      <w:proofErr w:type="spellEnd"/>
      <w:r>
        <w:t xml:space="preserve"> 83% of major applications were dealt with within the 13 week target. This is below the performance of the previous two years and is a sign of the increasing complexity of the major schemes, and the ongoing demands on the service. That said it is important to note that for 7 of the 12 months for the previous year 100% of major applications were determined within 13 weeks which is in itself exceptional. This performance is comparable to the national average of 82%.</w:t>
      </w:r>
    </w:p>
    <w:p w:rsidR="00A1647E" w:rsidRDefault="00A1647E" w:rsidP="00A1647E"/>
    <w:p w:rsidR="00A1647E" w:rsidRDefault="00A1647E" w:rsidP="002162B3">
      <w:pPr>
        <w:ind w:firstLine="567"/>
      </w:pPr>
      <w:r>
        <w:rPr>
          <w:b/>
          <w:sz w:val="20"/>
        </w:rPr>
        <w:t>Table 3</w:t>
      </w:r>
      <w:r w:rsidRPr="00FF4B54">
        <w:rPr>
          <w:b/>
          <w:sz w:val="20"/>
        </w:rPr>
        <w:t xml:space="preserve"> </w:t>
      </w:r>
      <w:r>
        <w:rPr>
          <w:b/>
          <w:sz w:val="20"/>
        </w:rPr>
        <w:t xml:space="preserve">Minor and </w:t>
      </w:r>
      <w:r w:rsidRPr="00FF4B54">
        <w:rPr>
          <w:b/>
          <w:sz w:val="20"/>
        </w:rPr>
        <w:t>Other Applications Performance</w:t>
      </w:r>
    </w:p>
    <w:tbl>
      <w:tblPr>
        <w:tblStyle w:val="TableGrid"/>
        <w:tblW w:w="9072" w:type="dxa"/>
        <w:tblInd w:w="562" w:type="dxa"/>
        <w:tblLayout w:type="fixed"/>
        <w:tblLook w:val="04A0" w:firstRow="1" w:lastRow="0" w:firstColumn="1" w:lastColumn="0" w:noHBand="0" w:noVBand="1"/>
      </w:tblPr>
      <w:tblGrid>
        <w:gridCol w:w="2127"/>
        <w:gridCol w:w="992"/>
        <w:gridCol w:w="992"/>
        <w:gridCol w:w="992"/>
        <w:gridCol w:w="992"/>
        <w:gridCol w:w="992"/>
        <w:gridCol w:w="992"/>
        <w:gridCol w:w="993"/>
      </w:tblGrid>
      <w:tr w:rsidR="00A1647E" w:rsidRPr="009460C5" w:rsidTr="002162B3">
        <w:tc>
          <w:tcPr>
            <w:tcW w:w="2127" w:type="dxa"/>
            <w:shd w:val="clear" w:color="auto" w:fill="E7E6E6" w:themeFill="background2"/>
          </w:tcPr>
          <w:p w:rsidR="00A1647E" w:rsidRPr="009460C5" w:rsidRDefault="00A1647E" w:rsidP="00475020">
            <w:pPr>
              <w:rPr>
                <w:sz w:val="20"/>
              </w:rPr>
            </w:pPr>
          </w:p>
        </w:tc>
        <w:tc>
          <w:tcPr>
            <w:tcW w:w="992" w:type="dxa"/>
            <w:shd w:val="clear" w:color="auto" w:fill="E7E6E6" w:themeFill="background2"/>
          </w:tcPr>
          <w:p w:rsidR="00A1647E" w:rsidRPr="00FF4B54" w:rsidRDefault="00A1647E" w:rsidP="00475020">
            <w:pPr>
              <w:jc w:val="center"/>
              <w:rPr>
                <w:b/>
                <w:sz w:val="20"/>
              </w:rPr>
            </w:pPr>
            <w:r>
              <w:rPr>
                <w:b/>
                <w:sz w:val="20"/>
              </w:rPr>
              <w:t>2015/16 Total</w:t>
            </w:r>
          </w:p>
        </w:tc>
        <w:tc>
          <w:tcPr>
            <w:tcW w:w="992" w:type="dxa"/>
            <w:shd w:val="clear" w:color="auto" w:fill="E7E6E6" w:themeFill="background2"/>
          </w:tcPr>
          <w:p w:rsidR="00A1647E" w:rsidRDefault="00A1647E" w:rsidP="00475020">
            <w:pPr>
              <w:jc w:val="center"/>
              <w:rPr>
                <w:b/>
                <w:sz w:val="20"/>
              </w:rPr>
            </w:pPr>
            <w:r>
              <w:rPr>
                <w:b/>
                <w:sz w:val="20"/>
              </w:rPr>
              <w:t>2016/17</w:t>
            </w:r>
            <w:r w:rsidRPr="00FF4B54">
              <w:rPr>
                <w:b/>
                <w:sz w:val="20"/>
              </w:rPr>
              <w:t xml:space="preserve"> Total</w:t>
            </w:r>
          </w:p>
        </w:tc>
        <w:tc>
          <w:tcPr>
            <w:tcW w:w="992" w:type="dxa"/>
            <w:shd w:val="clear" w:color="auto" w:fill="E7E6E6" w:themeFill="background2"/>
          </w:tcPr>
          <w:p w:rsidR="00A1647E" w:rsidRPr="00FF4B54" w:rsidRDefault="00A1647E" w:rsidP="00475020">
            <w:pPr>
              <w:jc w:val="center"/>
              <w:rPr>
                <w:b/>
                <w:sz w:val="20"/>
              </w:rPr>
            </w:pPr>
            <w:r>
              <w:rPr>
                <w:b/>
                <w:sz w:val="20"/>
              </w:rPr>
              <w:t>Q1 2017/18</w:t>
            </w:r>
          </w:p>
        </w:tc>
        <w:tc>
          <w:tcPr>
            <w:tcW w:w="992" w:type="dxa"/>
            <w:shd w:val="clear" w:color="auto" w:fill="E7E6E6" w:themeFill="background2"/>
          </w:tcPr>
          <w:p w:rsidR="00A1647E" w:rsidRPr="00FF4B54" w:rsidRDefault="00A1647E" w:rsidP="00475020">
            <w:pPr>
              <w:jc w:val="center"/>
              <w:rPr>
                <w:b/>
                <w:sz w:val="20"/>
              </w:rPr>
            </w:pPr>
            <w:r>
              <w:rPr>
                <w:b/>
                <w:sz w:val="20"/>
              </w:rPr>
              <w:t>Q2 2017/18</w:t>
            </w:r>
          </w:p>
        </w:tc>
        <w:tc>
          <w:tcPr>
            <w:tcW w:w="992" w:type="dxa"/>
            <w:shd w:val="clear" w:color="auto" w:fill="E7E6E6" w:themeFill="background2"/>
          </w:tcPr>
          <w:p w:rsidR="00A1647E" w:rsidRPr="00FF4B54" w:rsidRDefault="00A1647E" w:rsidP="00475020">
            <w:pPr>
              <w:jc w:val="center"/>
              <w:rPr>
                <w:b/>
                <w:sz w:val="20"/>
              </w:rPr>
            </w:pPr>
            <w:r>
              <w:rPr>
                <w:b/>
                <w:sz w:val="20"/>
              </w:rPr>
              <w:t>Q3 2017/18</w:t>
            </w:r>
          </w:p>
        </w:tc>
        <w:tc>
          <w:tcPr>
            <w:tcW w:w="992" w:type="dxa"/>
            <w:shd w:val="clear" w:color="auto" w:fill="E7E6E6" w:themeFill="background2"/>
          </w:tcPr>
          <w:p w:rsidR="00A1647E" w:rsidRPr="00FF4B54" w:rsidRDefault="00A1647E" w:rsidP="00475020">
            <w:pPr>
              <w:jc w:val="center"/>
              <w:rPr>
                <w:b/>
                <w:sz w:val="20"/>
              </w:rPr>
            </w:pPr>
            <w:r>
              <w:rPr>
                <w:b/>
                <w:sz w:val="20"/>
              </w:rPr>
              <w:t>Q4 2017/18</w:t>
            </w:r>
          </w:p>
        </w:tc>
        <w:tc>
          <w:tcPr>
            <w:tcW w:w="993" w:type="dxa"/>
            <w:shd w:val="clear" w:color="auto" w:fill="E7E6E6" w:themeFill="background2"/>
          </w:tcPr>
          <w:p w:rsidR="00A1647E" w:rsidRPr="00FF4B54" w:rsidRDefault="00A1647E" w:rsidP="00475020">
            <w:pPr>
              <w:jc w:val="center"/>
              <w:rPr>
                <w:b/>
                <w:sz w:val="20"/>
              </w:rPr>
            </w:pPr>
            <w:r>
              <w:rPr>
                <w:b/>
                <w:sz w:val="20"/>
              </w:rPr>
              <w:t>2017/18</w:t>
            </w:r>
            <w:r w:rsidRPr="00FF4B54">
              <w:rPr>
                <w:b/>
                <w:sz w:val="20"/>
              </w:rPr>
              <w:t xml:space="preserve"> Total</w:t>
            </w:r>
          </w:p>
        </w:tc>
      </w:tr>
      <w:tr w:rsidR="00A1647E" w:rsidRPr="009460C5" w:rsidTr="002162B3">
        <w:tc>
          <w:tcPr>
            <w:tcW w:w="2127" w:type="dxa"/>
          </w:tcPr>
          <w:p w:rsidR="00A1647E" w:rsidRPr="00FF4B54" w:rsidRDefault="00A1647E" w:rsidP="00475020">
            <w:pPr>
              <w:rPr>
                <w:b/>
                <w:sz w:val="20"/>
              </w:rPr>
            </w:pPr>
            <w:r w:rsidRPr="00FF4B54">
              <w:rPr>
                <w:b/>
                <w:sz w:val="20"/>
              </w:rPr>
              <w:t>Number of applications decided upon</w:t>
            </w:r>
          </w:p>
        </w:tc>
        <w:tc>
          <w:tcPr>
            <w:tcW w:w="992" w:type="dxa"/>
          </w:tcPr>
          <w:p w:rsidR="00A1647E" w:rsidRPr="005D4D2E" w:rsidRDefault="00A1647E" w:rsidP="00475020">
            <w:pPr>
              <w:jc w:val="center"/>
              <w:rPr>
                <w:rFonts w:cs="Arial"/>
                <w:b/>
                <w:sz w:val="20"/>
              </w:rPr>
            </w:pPr>
            <w:r w:rsidRPr="005D4D2E">
              <w:rPr>
                <w:rFonts w:cs="Arial"/>
                <w:b/>
                <w:sz w:val="20"/>
              </w:rPr>
              <w:t>376</w:t>
            </w:r>
          </w:p>
        </w:tc>
        <w:tc>
          <w:tcPr>
            <w:tcW w:w="992" w:type="dxa"/>
          </w:tcPr>
          <w:p w:rsidR="00A1647E" w:rsidRPr="006A513F" w:rsidRDefault="00A1647E" w:rsidP="00475020">
            <w:pPr>
              <w:jc w:val="center"/>
              <w:rPr>
                <w:rFonts w:cs="Arial"/>
                <w:b/>
                <w:sz w:val="20"/>
              </w:rPr>
            </w:pPr>
            <w:r w:rsidRPr="006A513F">
              <w:rPr>
                <w:rFonts w:cs="Arial"/>
                <w:b/>
                <w:sz w:val="20"/>
              </w:rPr>
              <w:t>535</w:t>
            </w:r>
          </w:p>
        </w:tc>
        <w:tc>
          <w:tcPr>
            <w:tcW w:w="992" w:type="dxa"/>
          </w:tcPr>
          <w:p w:rsidR="00A1647E" w:rsidRDefault="00A1647E" w:rsidP="00475020">
            <w:pPr>
              <w:jc w:val="center"/>
              <w:rPr>
                <w:rFonts w:cs="Arial"/>
                <w:sz w:val="20"/>
              </w:rPr>
            </w:pPr>
            <w:r>
              <w:rPr>
                <w:rFonts w:cs="Arial"/>
                <w:sz w:val="20"/>
              </w:rPr>
              <w:t>125</w:t>
            </w:r>
          </w:p>
        </w:tc>
        <w:tc>
          <w:tcPr>
            <w:tcW w:w="992" w:type="dxa"/>
            <w:shd w:val="clear" w:color="auto" w:fill="auto"/>
          </w:tcPr>
          <w:p w:rsidR="00A1647E" w:rsidRDefault="00A1647E" w:rsidP="00475020">
            <w:pPr>
              <w:jc w:val="center"/>
              <w:rPr>
                <w:rFonts w:cs="Arial"/>
                <w:sz w:val="20"/>
              </w:rPr>
            </w:pPr>
            <w:r>
              <w:rPr>
                <w:rFonts w:cs="Arial"/>
                <w:sz w:val="20"/>
              </w:rPr>
              <w:t>144</w:t>
            </w:r>
          </w:p>
        </w:tc>
        <w:tc>
          <w:tcPr>
            <w:tcW w:w="992" w:type="dxa"/>
            <w:shd w:val="clear" w:color="auto" w:fill="auto"/>
          </w:tcPr>
          <w:p w:rsidR="00A1647E" w:rsidRDefault="00A1647E" w:rsidP="00475020">
            <w:pPr>
              <w:jc w:val="center"/>
              <w:rPr>
                <w:rFonts w:cs="Arial"/>
                <w:sz w:val="20"/>
              </w:rPr>
            </w:pPr>
            <w:r>
              <w:rPr>
                <w:rFonts w:cs="Arial"/>
                <w:sz w:val="20"/>
              </w:rPr>
              <w:t>152</w:t>
            </w:r>
          </w:p>
        </w:tc>
        <w:tc>
          <w:tcPr>
            <w:tcW w:w="992" w:type="dxa"/>
            <w:shd w:val="clear" w:color="auto" w:fill="auto"/>
          </w:tcPr>
          <w:p w:rsidR="00A1647E" w:rsidRPr="005D4D2E" w:rsidRDefault="00A1647E" w:rsidP="00475020">
            <w:pPr>
              <w:jc w:val="center"/>
              <w:rPr>
                <w:rFonts w:cs="Arial"/>
                <w:sz w:val="20"/>
              </w:rPr>
            </w:pPr>
            <w:r>
              <w:rPr>
                <w:rFonts w:cs="Arial"/>
                <w:sz w:val="20"/>
              </w:rPr>
              <w:t>124</w:t>
            </w:r>
          </w:p>
        </w:tc>
        <w:tc>
          <w:tcPr>
            <w:tcW w:w="993" w:type="dxa"/>
            <w:shd w:val="clear" w:color="auto" w:fill="auto"/>
          </w:tcPr>
          <w:p w:rsidR="00A1647E" w:rsidRPr="003041F0" w:rsidRDefault="00A1647E" w:rsidP="00475020">
            <w:pPr>
              <w:jc w:val="center"/>
              <w:rPr>
                <w:rFonts w:cs="Arial"/>
                <w:b/>
                <w:sz w:val="20"/>
              </w:rPr>
            </w:pPr>
            <w:r>
              <w:rPr>
                <w:rFonts w:cs="Arial"/>
                <w:b/>
                <w:sz w:val="20"/>
              </w:rPr>
              <w:t>570</w:t>
            </w:r>
          </w:p>
        </w:tc>
      </w:tr>
      <w:tr w:rsidR="00A1647E" w:rsidRPr="009460C5" w:rsidTr="002162B3">
        <w:tc>
          <w:tcPr>
            <w:tcW w:w="2127" w:type="dxa"/>
          </w:tcPr>
          <w:p w:rsidR="00A1647E" w:rsidRPr="00FF4B54" w:rsidRDefault="00A1647E" w:rsidP="00475020">
            <w:pPr>
              <w:rPr>
                <w:b/>
                <w:sz w:val="20"/>
              </w:rPr>
            </w:pPr>
            <w:r w:rsidRPr="00FF4B54">
              <w:rPr>
                <w:b/>
                <w:sz w:val="20"/>
              </w:rPr>
              <w:t>Number of applications decided wit</w:t>
            </w:r>
            <w:r>
              <w:rPr>
                <w:b/>
                <w:sz w:val="20"/>
              </w:rPr>
              <w:t>hin 8</w:t>
            </w:r>
            <w:r w:rsidRPr="00FF4B54">
              <w:rPr>
                <w:b/>
                <w:sz w:val="20"/>
              </w:rPr>
              <w:t xml:space="preserve"> weeks or agreed time extension</w:t>
            </w:r>
          </w:p>
        </w:tc>
        <w:tc>
          <w:tcPr>
            <w:tcW w:w="992" w:type="dxa"/>
          </w:tcPr>
          <w:p w:rsidR="00A1647E" w:rsidRPr="005D4D2E" w:rsidRDefault="00A1647E" w:rsidP="00475020">
            <w:pPr>
              <w:jc w:val="center"/>
              <w:rPr>
                <w:rFonts w:cs="Arial"/>
                <w:b/>
                <w:sz w:val="20"/>
              </w:rPr>
            </w:pPr>
            <w:r w:rsidRPr="005D4D2E">
              <w:rPr>
                <w:rFonts w:cs="Arial"/>
                <w:b/>
                <w:sz w:val="20"/>
              </w:rPr>
              <w:t>359</w:t>
            </w:r>
          </w:p>
        </w:tc>
        <w:tc>
          <w:tcPr>
            <w:tcW w:w="992" w:type="dxa"/>
          </w:tcPr>
          <w:p w:rsidR="00A1647E" w:rsidRPr="006A513F" w:rsidRDefault="00A1647E" w:rsidP="00475020">
            <w:pPr>
              <w:jc w:val="center"/>
              <w:rPr>
                <w:rFonts w:cs="Arial"/>
                <w:b/>
                <w:sz w:val="20"/>
              </w:rPr>
            </w:pPr>
            <w:r w:rsidRPr="006A513F">
              <w:rPr>
                <w:rFonts w:cs="Arial"/>
                <w:b/>
                <w:sz w:val="20"/>
              </w:rPr>
              <w:t>519</w:t>
            </w:r>
          </w:p>
        </w:tc>
        <w:tc>
          <w:tcPr>
            <w:tcW w:w="992" w:type="dxa"/>
          </w:tcPr>
          <w:p w:rsidR="00A1647E" w:rsidRDefault="00A1647E" w:rsidP="00475020">
            <w:pPr>
              <w:jc w:val="center"/>
              <w:rPr>
                <w:rFonts w:cs="Arial"/>
                <w:sz w:val="20"/>
              </w:rPr>
            </w:pPr>
            <w:r>
              <w:rPr>
                <w:rFonts w:cs="Arial"/>
                <w:sz w:val="20"/>
              </w:rPr>
              <w:t>115</w:t>
            </w:r>
          </w:p>
        </w:tc>
        <w:tc>
          <w:tcPr>
            <w:tcW w:w="992" w:type="dxa"/>
            <w:shd w:val="clear" w:color="auto" w:fill="auto"/>
          </w:tcPr>
          <w:p w:rsidR="00A1647E" w:rsidRDefault="00A1647E" w:rsidP="00475020">
            <w:pPr>
              <w:jc w:val="center"/>
              <w:rPr>
                <w:rFonts w:cs="Arial"/>
                <w:sz w:val="20"/>
              </w:rPr>
            </w:pPr>
            <w:r>
              <w:rPr>
                <w:rFonts w:cs="Arial"/>
                <w:sz w:val="20"/>
              </w:rPr>
              <w:t>140</w:t>
            </w:r>
          </w:p>
        </w:tc>
        <w:tc>
          <w:tcPr>
            <w:tcW w:w="992" w:type="dxa"/>
            <w:shd w:val="clear" w:color="auto" w:fill="auto"/>
          </w:tcPr>
          <w:p w:rsidR="00A1647E" w:rsidRDefault="00A1647E" w:rsidP="00475020">
            <w:pPr>
              <w:jc w:val="center"/>
              <w:rPr>
                <w:rFonts w:cs="Arial"/>
                <w:sz w:val="20"/>
              </w:rPr>
            </w:pPr>
            <w:r>
              <w:rPr>
                <w:rFonts w:cs="Arial"/>
                <w:sz w:val="20"/>
              </w:rPr>
              <w:t>132</w:t>
            </w:r>
          </w:p>
        </w:tc>
        <w:tc>
          <w:tcPr>
            <w:tcW w:w="992" w:type="dxa"/>
            <w:shd w:val="clear" w:color="auto" w:fill="auto"/>
          </w:tcPr>
          <w:p w:rsidR="00A1647E" w:rsidRPr="005D4D2E" w:rsidRDefault="00A1647E" w:rsidP="00475020">
            <w:pPr>
              <w:jc w:val="center"/>
              <w:rPr>
                <w:rFonts w:cs="Arial"/>
                <w:sz w:val="20"/>
              </w:rPr>
            </w:pPr>
            <w:r>
              <w:rPr>
                <w:rFonts w:cs="Arial"/>
                <w:sz w:val="20"/>
              </w:rPr>
              <w:t>122</w:t>
            </w:r>
          </w:p>
        </w:tc>
        <w:tc>
          <w:tcPr>
            <w:tcW w:w="993" w:type="dxa"/>
            <w:shd w:val="clear" w:color="auto" w:fill="auto"/>
          </w:tcPr>
          <w:p w:rsidR="00A1647E" w:rsidRPr="003041F0" w:rsidRDefault="00A1647E" w:rsidP="00475020">
            <w:pPr>
              <w:jc w:val="center"/>
              <w:rPr>
                <w:rFonts w:cs="Arial"/>
                <w:b/>
                <w:sz w:val="20"/>
              </w:rPr>
            </w:pPr>
            <w:r>
              <w:rPr>
                <w:rFonts w:cs="Arial"/>
                <w:b/>
                <w:sz w:val="20"/>
              </w:rPr>
              <w:t>545</w:t>
            </w:r>
          </w:p>
        </w:tc>
      </w:tr>
      <w:tr w:rsidR="00A1647E" w:rsidRPr="009460C5" w:rsidTr="002162B3">
        <w:tc>
          <w:tcPr>
            <w:tcW w:w="2127" w:type="dxa"/>
          </w:tcPr>
          <w:p w:rsidR="00A1647E" w:rsidRPr="00FF4B54" w:rsidRDefault="00A1647E" w:rsidP="00475020">
            <w:pPr>
              <w:rPr>
                <w:b/>
                <w:sz w:val="20"/>
              </w:rPr>
            </w:pPr>
            <w:r w:rsidRPr="00FF4B54">
              <w:rPr>
                <w:b/>
                <w:sz w:val="20"/>
              </w:rPr>
              <w:t>Percentage within 8 weeks</w:t>
            </w:r>
          </w:p>
        </w:tc>
        <w:tc>
          <w:tcPr>
            <w:tcW w:w="992" w:type="dxa"/>
          </w:tcPr>
          <w:p w:rsidR="00A1647E" w:rsidRPr="005D4D2E" w:rsidRDefault="00A1647E" w:rsidP="00475020">
            <w:pPr>
              <w:jc w:val="center"/>
              <w:rPr>
                <w:rFonts w:cs="Arial"/>
                <w:b/>
                <w:sz w:val="20"/>
              </w:rPr>
            </w:pPr>
            <w:r w:rsidRPr="005D4D2E">
              <w:rPr>
                <w:rFonts w:cs="Arial"/>
                <w:b/>
                <w:sz w:val="20"/>
              </w:rPr>
              <w:t>95.27%</w:t>
            </w:r>
          </w:p>
        </w:tc>
        <w:tc>
          <w:tcPr>
            <w:tcW w:w="992" w:type="dxa"/>
          </w:tcPr>
          <w:p w:rsidR="00A1647E" w:rsidRPr="006A513F" w:rsidRDefault="00A1647E" w:rsidP="00475020">
            <w:pPr>
              <w:jc w:val="center"/>
              <w:rPr>
                <w:rFonts w:cs="Arial"/>
                <w:b/>
                <w:sz w:val="20"/>
              </w:rPr>
            </w:pPr>
            <w:r w:rsidRPr="006A513F">
              <w:rPr>
                <w:rFonts w:cs="Arial"/>
                <w:b/>
                <w:sz w:val="20"/>
              </w:rPr>
              <w:t>97.01%</w:t>
            </w:r>
          </w:p>
        </w:tc>
        <w:tc>
          <w:tcPr>
            <w:tcW w:w="992" w:type="dxa"/>
          </w:tcPr>
          <w:p w:rsidR="00A1647E" w:rsidRDefault="00A1647E" w:rsidP="00475020">
            <w:pPr>
              <w:jc w:val="center"/>
              <w:rPr>
                <w:rFonts w:cs="Arial"/>
                <w:sz w:val="20"/>
              </w:rPr>
            </w:pPr>
            <w:r>
              <w:rPr>
                <w:rFonts w:cs="Arial"/>
                <w:sz w:val="20"/>
              </w:rPr>
              <w:t>92.00%</w:t>
            </w:r>
          </w:p>
        </w:tc>
        <w:tc>
          <w:tcPr>
            <w:tcW w:w="992" w:type="dxa"/>
            <w:shd w:val="clear" w:color="auto" w:fill="auto"/>
          </w:tcPr>
          <w:p w:rsidR="00A1647E" w:rsidRDefault="00A1647E" w:rsidP="00475020">
            <w:pPr>
              <w:jc w:val="center"/>
              <w:rPr>
                <w:rFonts w:cs="Arial"/>
                <w:sz w:val="20"/>
              </w:rPr>
            </w:pPr>
            <w:r>
              <w:rPr>
                <w:rFonts w:cs="Arial"/>
                <w:sz w:val="20"/>
              </w:rPr>
              <w:t>97.22%</w:t>
            </w:r>
          </w:p>
        </w:tc>
        <w:tc>
          <w:tcPr>
            <w:tcW w:w="992" w:type="dxa"/>
            <w:shd w:val="clear" w:color="auto" w:fill="auto"/>
          </w:tcPr>
          <w:p w:rsidR="00A1647E" w:rsidRDefault="00A1647E" w:rsidP="00475020">
            <w:pPr>
              <w:jc w:val="center"/>
              <w:rPr>
                <w:rFonts w:cs="Arial"/>
                <w:sz w:val="20"/>
              </w:rPr>
            </w:pPr>
            <w:r>
              <w:rPr>
                <w:rFonts w:cs="Arial"/>
                <w:sz w:val="20"/>
              </w:rPr>
              <w:t>86.84%</w:t>
            </w:r>
          </w:p>
        </w:tc>
        <w:tc>
          <w:tcPr>
            <w:tcW w:w="992" w:type="dxa"/>
            <w:shd w:val="clear" w:color="auto" w:fill="auto"/>
          </w:tcPr>
          <w:p w:rsidR="00A1647E" w:rsidRPr="005D4D2E" w:rsidRDefault="00A1647E" w:rsidP="00475020">
            <w:pPr>
              <w:jc w:val="center"/>
              <w:rPr>
                <w:rFonts w:cs="Arial"/>
                <w:sz w:val="20"/>
              </w:rPr>
            </w:pPr>
            <w:r>
              <w:rPr>
                <w:rFonts w:cs="Arial"/>
                <w:sz w:val="20"/>
              </w:rPr>
              <w:t>98.39%</w:t>
            </w:r>
          </w:p>
        </w:tc>
        <w:tc>
          <w:tcPr>
            <w:tcW w:w="993" w:type="dxa"/>
            <w:shd w:val="clear" w:color="auto" w:fill="auto"/>
          </w:tcPr>
          <w:p w:rsidR="00A1647E" w:rsidRPr="003041F0" w:rsidRDefault="00A1647E" w:rsidP="00475020">
            <w:pPr>
              <w:jc w:val="center"/>
              <w:rPr>
                <w:rFonts w:cs="Arial"/>
                <w:b/>
                <w:sz w:val="20"/>
              </w:rPr>
            </w:pPr>
            <w:r>
              <w:rPr>
                <w:rFonts w:cs="Arial"/>
                <w:b/>
                <w:sz w:val="20"/>
              </w:rPr>
              <w:t>93.39</w:t>
            </w:r>
          </w:p>
        </w:tc>
      </w:tr>
    </w:tbl>
    <w:p w:rsidR="00A1647E" w:rsidRDefault="00A1647E" w:rsidP="00A1647E">
      <w:pPr>
        <w:jc w:val="both"/>
      </w:pPr>
    </w:p>
    <w:p w:rsidR="00A1647E" w:rsidRDefault="00A1647E" w:rsidP="00A1647E">
      <w:pPr>
        <w:ind w:left="567" w:hanging="567"/>
        <w:jc w:val="both"/>
      </w:pPr>
      <w:r>
        <w:t>5.4</w:t>
      </w:r>
      <w:r>
        <w:tab/>
        <w:t>Performance on minor applications is even stronger with just over 93%% of applications begin dealt with within 8 weeks at the end of year. This is slightly down on the previous two years performance. As with the major applications for 7 of the 12 months 100% of applications were dealt with within 8 weeks. This is exceptionally high performance compared to the national average of 78% and places South Ribble in the top five of local shire planning authorities nationally and the top performer of shire authorities in the North West.</w:t>
      </w:r>
    </w:p>
    <w:p w:rsidR="00A1647E" w:rsidRDefault="00A1647E" w:rsidP="00A1647E"/>
    <w:p w:rsidR="00A1647E" w:rsidRDefault="00A1647E" w:rsidP="002162B3">
      <w:pPr>
        <w:ind w:firstLine="567"/>
      </w:pPr>
      <w:r>
        <w:rPr>
          <w:b/>
          <w:sz w:val="20"/>
        </w:rPr>
        <w:t>Table 4</w:t>
      </w:r>
      <w:r w:rsidRPr="00A86C60">
        <w:rPr>
          <w:b/>
          <w:sz w:val="20"/>
        </w:rPr>
        <w:t xml:space="preserve"> Percentage of Applications Made Online</w:t>
      </w:r>
    </w:p>
    <w:tbl>
      <w:tblPr>
        <w:tblStyle w:val="TableGrid"/>
        <w:tblW w:w="9072" w:type="dxa"/>
        <w:tblInd w:w="562" w:type="dxa"/>
        <w:tblLayout w:type="fixed"/>
        <w:tblLook w:val="04A0" w:firstRow="1" w:lastRow="0" w:firstColumn="1" w:lastColumn="0" w:noHBand="0" w:noVBand="1"/>
      </w:tblPr>
      <w:tblGrid>
        <w:gridCol w:w="2127"/>
        <w:gridCol w:w="992"/>
        <w:gridCol w:w="992"/>
        <w:gridCol w:w="992"/>
        <w:gridCol w:w="992"/>
        <w:gridCol w:w="992"/>
        <w:gridCol w:w="992"/>
        <w:gridCol w:w="993"/>
      </w:tblGrid>
      <w:tr w:rsidR="00A1647E" w:rsidRPr="00FF4B54" w:rsidTr="002162B3">
        <w:tc>
          <w:tcPr>
            <w:tcW w:w="2127" w:type="dxa"/>
            <w:shd w:val="clear" w:color="auto" w:fill="E7E6E6" w:themeFill="background2"/>
          </w:tcPr>
          <w:p w:rsidR="00A1647E" w:rsidRPr="009460C5" w:rsidRDefault="00A1647E" w:rsidP="00475020">
            <w:pPr>
              <w:rPr>
                <w:sz w:val="20"/>
              </w:rPr>
            </w:pPr>
          </w:p>
        </w:tc>
        <w:tc>
          <w:tcPr>
            <w:tcW w:w="992" w:type="dxa"/>
            <w:shd w:val="clear" w:color="auto" w:fill="E7E6E6" w:themeFill="background2"/>
          </w:tcPr>
          <w:p w:rsidR="00A1647E" w:rsidRPr="00FF4B54" w:rsidRDefault="00A1647E" w:rsidP="00475020">
            <w:pPr>
              <w:jc w:val="center"/>
              <w:rPr>
                <w:b/>
                <w:sz w:val="20"/>
              </w:rPr>
            </w:pPr>
            <w:r>
              <w:rPr>
                <w:b/>
                <w:sz w:val="20"/>
              </w:rPr>
              <w:t>2015/16 Total</w:t>
            </w:r>
          </w:p>
        </w:tc>
        <w:tc>
          <w:tcPr>
            <w:tcW w:w="992" w:type="dxa"/>
            <w:shd w:val="clear" w:color="auto" w:fill="E7E6E6" w:themeFill="background2"/>
          </w:tcPr>
          <w:p w:rsidR="00A1647E" w:rsidRDefault="00A1647E" w:rsidP="00475020">
            <w:pPr>
              <w:jc w:val="center"/>
              <w:rPr>
                <w:b/>
                <w:sz w:val="20"/>
              </w:rPr>
            </w:pPr>
            <w:r>
              <w:rPr>
                <w:b/>
                <w:sz w:val="20"/>
              </w:rPr>
              <w:t>2016/17</w:t>
            </w:r>
            <w:r w:rsidRPr="00FF4B54">
              <w:rPr>
                <w:b/>
                <w:sz w:val="20"/>
              </w:rPr>
              <w:t xml:space="preserve"> Total</w:t>
            </w:r>
          </w:p>
        </w:tc>
        <w:tc>
          <w:tcPr>
            <w:tcW w:w="992" w:type="dxa"/>
            <w:shd w:val="clear" w:color="auto" w:fill="E7E6E6" w:themeFill="background2"/>
          </w:tcPr>
          <w:p w:rsidR="00A1647E" w:rsidRPr="00FF4B54" w:rsidRDefault="00A1647E" w:rsidP="00475020">
            <w:pPr>
              <w:jc w:val="center"/>
              <w:rPr>
                <w:b/>
                <w:sz w:val="20"/>
              </w:rPr>
            </w:pPr>
            <w:r>
              <w:rPr>
                <w:b/>
                <w:sz w:val="20"/>
              </w:rPr>
              <w:t>Q1 2017/18</w:t>
            </w:r>
          </w:p>
        </w:tc>
        <w:tc>
          <w:tcPr>
            <w:tcW w:w="992" w:type="dxa"/>
            <w:shd w:val="clear" w:color="auto" w:fill="E7E6E6" w:themeFill="background2"/>
          </w:tcPr>
          <w:p w:rsidR="00A1647E" w:rsidRPr="00FF4B54" w:rsidRDefault="00A1647E" w:rsidP="00475020">
            <w:pPr>
              <w:jc w:val="center"/>
              <w:rPr>
                <w:b/>
                <w:sz w:val="20"/>
              </w:rPr>
            </w:pPr>
            <w:r>
              <w:rPr>
                <w:b/>
                <w:sz w:val="20"/>
              </w:rPr>
              <w:t>Q2 2017/18</w:t>
            </w:r>
          </w:p>
        </w:tc>
        <w:tc>
          <w:tcPr>
            <w:tcW w:w="992" w:type="dxa"/>
            <w:shd w:val="clear" w:color="auto" w:fill="E7E6E6" w:themeFill="background2"/>
          </w:tcPr>
          <w:p w:rsidR="00A1647E" w:rsidRPr="00FF4B54" w:rsidRDefault="00A1647E" w:rsidP="00475020">
            <w:pPr>
              <w:jc w:val="center"/>
              <w:rPr>
                <w:b/>
                <w:sz w:val="20"/>
              </w:rPr>
            </w:pPr>
            <w:r>
              <w:rPr>
                <w:b/>
                <w:sz w:val="20"/>
              </w:rPr>
              <w:t>Q3 2017/18</w:t>
            </w:r>
          </w:p>
        </w:tc>
        <w:tc>
          <w:tcPr>
            <w:tcW w:w="992" w:type="dxa"/>
            <w:shd w:val="clear" w:color="auto" w:fill="E7E6E6" w:themeFill="background2"/>
          </w:tcPr>
          <w:p w:rsidR="00A1647E" w:rsidRPr="00FF4B54" w:rsidRDefault="00A1647E" w:rsidP="00475020">
            <w:pPr>
              <w:jc w:val="center"/>
              <w:rPr>
                <w:b/>
                <w:sz w:val="20"/>
              </w:rPr>
            </w:pPr>
            <w:r>
              <w:rPr>
                <w:b/>
                <w:sz w:val="20"/>
              </w:rPr>
              <w:t>Q4 2017/18</w:t>
            </w:r>
          </w:p>
        </w:tc>
        <w:tc>
          <w:tcPr>
            <w:tcW w:w="993" w:type="dxa"/>
            <w:shd w:val="clear" w:color="auto" w:fill="E7E6E6" w:themeFill="background2"/>
          </w:tcPr>
          <w:p w:rsidR="00A1647E" w:rsidRPr="00FF4B54" w:rsidRDefault="00A1647E" w:rsidP="00475020">
            <w:pPr>
              <w:jc w:val="center"/>
              <w:rPr>
                <w:b/>
                <w:sz w:val="20"/>
              </w:rPr>
            </w:pPr>
            <w:r>
              <w:rPr>
                <w:b/>
                <w:sz w:val="20"/>
              </w:rPr>
              <w:t>2017/18</w:t>
            </w:r>
            <w:r w:rsidRPr="00FF4B54">
              <w:rPr>
                <w:b/>
                <w:sz w:val="20"/>
              </w:rPr>
              <w:t xml:space="preserve"> Total</w:t>
            </w:r>
          </w:p>
        </w:tc>
      </w:tr>
      <w:tr w:rsidR="00A1647E" w:rsidRPr="00103D74" w:rsidTr="002162B3">
        <w:tc>
          <w:tcPr>
            <w:tcW w:w="2127" w:type="dxa"/>
          </w:tcPr>
          <w:p w:rsidR="00A1647E" w:rsidRPr="00FF4B54" w:rsidRDefault="00A1647E" w:rsidP="00475020">
            <w:pPr>
              <w:rPr>
                <w:b/>
                <w:sz w:val="20"/>
              </w:rPr>
            </w:pPr>
            <w:r>
              <w:rPr>
                <w:b/>
                <w:sz w:val="20"/>
              </w:rPr>
              <w:lastRenderedPageBreak/>
              <w:t xml:space="preserve">Percentage </w:t>
            </w:r>
            <w:r w:rsidRPr="00FF4B54">
              <w:rPr>
                <w:b/>
                <w:sz w:val="20"/>
              </w:rPr>
              <w:t>of applications received</w:t>
            </w:r>
          </w:p>
        </w:tc>
        <w:tc>
          <w:tcPr>
            <w:tcW w:w="992" w:type="dxa"/>
          </w:tcPr>
          <w:p w:rsidR="00A1647E" w:rsidRDefault="00A1647E" w:rsidP="00475020">
            <w:pPr>
              <w:jc w:val="center"/>
              <w:rPr>
                <w:rFonts w:cs="Arial"/>
                <w:sz w:val="20"/>
              </w:rPr>
            </w:pPr>
            <w:r w:rsidRPr="005D4D2E">
              <w:rPr>
                <w:b/>
                <w:sz w:val="20"/>
              </w:rPr>
              <w:t>54.7%</w:t>
            </w:r>
          </w:p>
        </w:tc>
        <w:tc>
          <w:tcPr>
            <w:tcW w:w="992" w:type="dxa"/>
          </w:tcPr>
          <w:p w:rsidR="00A1647E" w:rsidRPr="006A513F" w:rsidRDefault="00A1647E" w:rsidP="00475020">
            <w:pPr>
              <w:jc w:val="center"/>
              <w:rPr>
                <w:rFonts w:cs="Arial"/>
                <w:b/>
                <w:sz w:val="20"/>
              </w:rPr>
            </w:pPr>
            <w:r w:rsidRPr="006A513F">
              <w:rPr>
                <w:rFonts w:cs="Arial"/>
                <w:b/>
                <w:sz w:val="20"/>
              </w:rPr>
              <w:t>57%</w:t>
            </w:r>
          </w:p>
        </w:tc>
        <w:tc>
          <w:tcPr>
            <w:tcW w:w="992" w:type="dxa"/>
          </w:tcPr>
          <w:p w:rsidR="00A1647E" w:rsidRDefault="00A1647E" w:rsidP="00475020">
            <w:pPr>
              <w:jc w:val="center"/>
              <w:rPr>
                <w:rFonts w:cs="Arial"/>
                <w:sz w:val="20"/>
              </w:rPr>
            </w:pPr>
            <w:r>
              <w:rPr>
                <w:rFonts w:cs="Arial"/>
                <w:sz w:val="20"/>
              </w:rPr>
              <w:t>63%</w:t>
            </w:r>
          </w:p>
        </w:tc>
        <w:tc>
          <w:tcPr>
            <w:tcW w:w="992" w:type="dxa"/>
            <w:shd w:val="clear" w:color="auto" w:fill="auto"/>
          </w:tcPr>
          <w:p w:rsidR="00A1647E" w:rsidRDefault="00A1647E" w:rsidP="00475020">
            <w:pPr>
              <w:jc w:val="center"/>
              <w:rPr>
                <w:rFonts w:cs="Arial"/>
                <w:sz w:val="20"/>
              </w:rPr>
            </w:pPr>
            <w:r>
              <w:rPr>
                <w:rFonts w:cs="Arial"/>
                <w:sz w:val="20"/>
              </w:rPr>
              <w:t>58%</w:t>
            </w:r>
          </w:p>
        </w:tc>
        <w:tc>
          <w:tcPr>
            <w:tcW w:w="992" w:type="dxa"/>
            <w:shd w:val="clear" w:color="auto" w:fill="auto"/>
          </w:tcPr>
          <w:p w:rsidR="00A1647E" w:rsidRDefault="00A1647E" w:rsidP="00475020">
            <w:pPr>
              <w:jc w:val="center"/>
              <w:rPr>
                <w:rFonts w:cs="Arial"/>
                <w:sz w:val="20"/>
              </w:rPr>
            </w:pPr>
            <w:r>
              <w:rPr>
                <w:rFonts w:cs="Arial"/>
                <w:sz w:val="20"/>
              </w:rPr>
              <w:t>69%</w:t>
            </w:r>
          </w:p>
        </w:tc>
        <w:tc>
          <w:tcPr>
            <w:tcW w:w="992" w:type="dxa"/>
            <w:shd w:val="clear" w:color="auto" w:fill="auto"/>
          </w:tcPr>
          <w:p w:rsidR="00A1647E" w:rsidRPr="005D4D2E" w:rsidRDefault="00A1647E" w:rsidP="00475020">
            <w:pPr>
              <w:jc w:val="center"/>
              <w:rPr>
                <w:rFonts w:cs="Arial"/>
                <w:sz w:val="20"/>
              </w:rPr>
            </w:pPr>
            <w:r>
              <w:rPr>
                <w:rFonts w:cs="Arial"/>
                <w:sz w:val="20"/>
              </w:rPr>
              <w:t>66%</w:t>
            </w:r>
          </w:p>
        </w:tc>
        <w:tc>
          <w:tcPr>
            <w:tcW w:w="993" w:type="dxa"/>
            <w:shd w:val="clear" w:color="auto" w:fill="auto"/>
          </w:tcPr>
          <w:p w:rsidR="00A1647E" w:rsidRPr="00103D74" w:rsidRDefault="00A1647E" w:rsidP="00475020">
            <w:pPr>
              <w:jc w:val="center"/>
              <w:rPr>
                <w:rFonts w:cs="Arial"/>
                <w:b/>
                <w:sz w:val="20"/>
              </w:rPr>
            </w:pPr>
            <w:r>
              <w:rPr>
                <w:rFonts w:cs="Arial"/>
                <w:b/>
                <w:sz w:val="20"/>
              </w:rPr>
              <w:t>63%</w:t>
            </w:r>
          </w:p>
        </w:tc>
      </w:tr>
    </w:tbl>
    <w:p w:rsidR="00A1647E" w:rsidRDefault="00A1647E" w:rsidP="00A1647E"/>
    <w:p w:rsidR="00A1647E" w:rsidRDefault="006D6AF4" w:rsidP="006D6AF4">
      <w:pPr>
        <w:ind w:left="567" w:hanging="567"/>
        <w:jc w:val="both"/>
      </w:pPr>
      <w:r>
        <w:t>5.5</w:t>
      </w:r>
      <w:r>
        <w:tab/>
      </w:r>
      <w:r w:rsidR="00A1647E">
        <w:t xml:space="preserve">Applicants and agents are encouraged to submit planning applications online. Online submissions are more efficient and if valid tend to be registered sooner. The end of year shows a marked increase on the previous year’s performance with 63% of applications being submitted online. </w:t>
      </w:r>
    </w:p>
    <w:p w:rsidR="00A1647E" w:rsidRDefault="00A1647E" w:rsidP="00A1647E"/>
    <w:p w:rsidR="00A1647E" w:rsidRDefault="00A1647E" w:rsidP="006257D4">
      <w:pPr>
        <w:ind w:firstLine="567"/>
        <w:jc w:val="both"/>
      </w:pPr>
      <w:r>
        <w:rPr>
          <w:b/>
          <w:sz w:val="20"/>
        </w:rPr>
        <w:t>Table 5</w:t>
      </w:r>
      <w:r w:rsidRPr="00A86C60">
        <w:rPr>
          <w:b/>
          <w:sz w:val="20"/>
        </w:rPr>
        <w:t xml:space="preserve"> </w:t>
      </w:r>
      <w:r>
        <w:rPr>
          <w:b/>
          <w:sz w:val="20"/>
        </w:rPr>
        <w:t>Percentage</w:t>
      </w:r>
      <w:r w:rsidRPr="00A86C60">
        <w:rPr>
          <w:b/>
          <w:sz w:val="20"/>
        </w:rPr>
        <w:t xml:space="preserve"> of Appeals Allowed Against Refusal</w:t>
      </w:r>
    </w:p>
    <w:tbl>
      <w:tblPr>
        <w:tblStyle w:val="TableGrid"/>
        <w:tblW w:w="9072" w:type="dxa"/>
        <w:tblInd w:w="562" w:type="dxa"/>
        <w:tblLayout w:type="fixed"/>
        <w:tblLook w:val="04A0" w:firstRow="1" w:lastRow="0" w:firstColumn="1" w:lastColumn="0" w:noHBand="0" w:noVBand="1"/>
      </w:tblPr>
      <w:tblGrid>
        <w:gridCol w:w="2127"/>
        <w:gridCol w:w="992"/>
        <w:gridCol w:w="992"/>
        <w:gridCol w:w="992"/>
        <w:gridCol w:w="992"/>
        <w:gridCol w:w="992"/>
        <w:gridCol w:w="992"/>
        <w:gridCol w:w="993"/>
      </w:tblGrid>
      <w:tr w:rsidR="00A1647E" w:rsidRPr="00FF4B54" w:rsidTr="006257D4">
        <w:tc>
          <w:tcPr>
            <w:tcW w:w="2127" w:type="dxa"/>
            <w:shd w:val="clear" w:color="auto" w:fill="E7E6E6" w:themeFill="background2"/>
          </w:tcPr>
          <w:p w:rsidR="00A1647E" w:rsidRPr="009460C5" w:rsidRDefault="00A1647E" w:rsidP="006257D4">
            <w:pPr>
              <w:rPr>
                <w:sz w:val="20"/>
              </w:rPr>
            </w:pPr>
          </w:p>
        </w:tc>
        <w:tc>
          <w:tcPr>
            <w:tcW w:w="992" w:type="dxa"/>
            <w:shd w:val="clear" w:color="auto" w:fill="E7E6E6" w:themeFill="background2"/>
          </w:tcPr>
          <w:p w:rsidR="00A1647E" w:rsidRPr="00FF4B54" w:rsidRDefault="00A1647E" w:rsidP="00475020">
            <w:pPr>
              <w:jc w:val="center"/>
              <w:rPr>
                <w:b/>
                <w:sz w:val="20"/>
              </w:rPr>
            </w:pPr>
            <w:r>
              <w:rPr>
                <w:b/>
                <w:sz w:val="20"/>
              </w:rPr>
              <w:t>2015/16 Total</w:t>
            </w:r>
          </w:p>
        </w:tc>
        <w:tc>
          <w:tcPr>
            <w:tcW w:w="992" w:type="dxa"/>
            <w:shd w:val="clear" w:color="auto" w:fill="E7E6E6" w:themeFill="background2"/>
          </w:tcPr>
          <w:p w:rsidR="00A1647E" w:rsidRDefault="00A1647E" w:rsidP="00475020">
            <w:pPr>
              <w:jc w:val="center"/>
              <w:rPr>
                <w:b/>
                <w:sz w:val="20"/>
              </w:rPr>
            </w:pPr>
            <w:r>
              <w:rPr>
                <w:b/>
                <w:sz w:val="20"/>
              </w:rPr>
              <w:t>2016/17</w:t>
            </w:r>
            <w:r w:rsidRPr="00FF4B54">
              <w:rPr>
                <w:b/>
                <w:sz w:val="20"/>
              </w:rPr>
              <w:t xml:space="preserve"> Total</w:t>
            </w:r>
          </w:p>
        </w:tc>
        <w:tc>
          <w:tcPr>
            <w:tcW w:w="992" w:type="dxa"/>
            <w:shd w:val="clear" w:color="auto" w:fill="E7E6E6" w:themeFill="background2"/>
          </w:tcPr>
          <w:p w:rsidR="00A1647E" w:rsidRPr="00FF4B54" w:rsidRDefault="00A1647E" w:rsidP="00475020">
            <w:pPr>
              <w:jc w:val="center"/>
              <w:rPr>
                <w:b/>
                <w:sz w:val="20"/>
              </w:rPr>
            </w:pPr>
            <w:r>
              <w:rPr>
                <w:b/>
                <w:sz w:val="20"/>
              </w:rPr>
              <w:t>Q1 2017/18</w:t>
            </w:r>
          </w:p>
        </w:tc>
        <w:tc>
          <w:tcPr>
            <w:tcW w:w="992" w:type="dxa"/>
            <w:shd w:val="clear" w:color="auto" w:fill="E7E6E6" w:themeFill="background2"/>
          </w:tcPr>
          <w:p w:rsidR="00A1647E" w:rsidRPr="00FF4B54" w:rsidRDefault="00A1647E" w:rsidP="00475020">
            <w:pPr>
              <w:jc w:val="center"/>
              <w:rPr>
                <w:b/>
                <w:sz w:val="20"/>
              </w:rPr>
            </w:pPr>
            <w:r>
              <w:rPr>
                <w:b/>
                <w:sz w:val="20"/>
              </w:rPr>
              <w:t>Q2 2017/18</w:t>
            </w:r>
          </w:p>
        </w:tc>
        <w:tc>
          <w:tcPr>
            <w:tcW w:w="992" w:type="dxa"/>
            <w:shd w:val="clear" w:color="auto" w:fill="E7E6E6" w:themeFill="background2"/>
          </w:tcPr>
          <w:p w:rsidR="00A1647E" w:rsidRPr="00FF4B54" w:rsidRDefault="00A1647E" w:rsidP="00475020">
            <w:pPr>
              <w:jc w:val="center"/>
              <w:rPr>
                <w:b/>
                <w:sz w:val="20"/>
              </w:rPr>
            </w:pPr>
            <w:r>
              <w:rPr>
                <w:b/>
                <w:sz w:val="20"/>
              </w:rPr>
              <w:t>Q3 2017/18</w:t>
            </w:r>
          </w:p>
        </w:tc>
        <w:tc>
          <w:tcPr>
            <w:tcW w:w="992" w:type="dxa"/>
            <w:shd w:val="clear" w:color="auto" w:fill="E7E6E6" w:themeFill="background2"/>
          </w:tcPr>
          <w:p w:rsidR="00A1647E" w:rsidRPr="00FF4B54" w:rsidRDefault="00A1647E" w:rsidP="00475020">
            <w:pPr>
              <w:jc w:val="center"/>
              <w:rPr>
                <w:b/>
                <w:sz w:val="20"/>
              </w:rPr>
            </w:pPr>
            <w:r>
              <w:rPr>
                <w:b/>
                <w:sz w:val="20"/>
              </w:rPr>
              <w:t>Q4 2017/18</w:t>
            </w:r>
          </w:p>
        </w:tc>
        <w:tc>
          <w:tcPr>
            <w:tcW w:w="993" w:type="dxa"/>
            <w:shd w:val="clear" w:color="auto" w:fill="E7E6E6" w:themeFill="background2"/>
          </w:tcPr>
          <w:p w:rsidR="00A1647E" w:rsidRPr="00FF4B54" w:rsidRDefault="00A1647E" w:rsidP="00475020">
            <w:pPr>
              <w:jc w:val="center"/>
              <w:rPr>
                <w:b/>
                <w:sz w:val="20"/>
              </w:rPr>
            </w:pPr>
            <w:r>
              <w:rPr>
                <w:b/>
                <w:sz w:val="20"/>
              </w:rPr>
              <w:t>2017/18</w:t>
            </w:r>
            <w:r w:rsidRPr="00FF4B54">
              <w:rPr>
                <w:b/>
                <w:sz w:val="20"/>
              </w:rPr>
              <w:t xml:space="preserve"> Total</w:t>
            </w:r>
          </w:p>
        </w:tc>
      </w:tr>
      <w:tr w:rsidR="00A1647E" w:rsidRPr="00103D74" w:rsidTr="006257D4">
        <w:tc>
          <w:tcPr>
            <w:tcW w:w="2127" w:type="dxa"/>
          </w:tcPr>
          <w:p w:rsidR="00A1647E" w:rsidRDefault="00A1647E" w:rsidP="006257D4">
            <w:pPr>
              <w:rPr>
                <w:b/>
                <w:sz w:val="20"/>
              </w:rPr>
            </w:pPr>
            <w:r>
              <w:rPr>
                <w:b/>
                <w:sz w:val="20"/>
              </w:rPr>
              <w:t>Number of appeals decided</w:t>
            </w:r>
          </w:p>
        </w:tc>
        <w:tc>
          <w:tcPr>
            <w:tcW w:w="992" w:type="dxa"/>
          </w:tcPr>
          <w:p w:rsidR="00A1647E" w:rsidRPr="005D4D2E" w:rsidRDefault="00A1647E" w:rsidP="00475020">
            <w:pPr>
              <w:jc w:val="center"/>
              <w:rPr>
                <w:rFonts w:cs="Arial"/>
                <w:b/>
                <w:sz w:val="20"/>
              </w:rPr>
            </w:pPr>
            <w:r w:rsidRPr="005D4D2E">
              <w:rPr>
                <w:rFonts w:cs="Arial"/>
                <w:b/>
                <w:sz w:val="20"/>
              </w:rPr>
              <w:t>5</w:t>
            </w:r>
          </w:p>
        </w:tc>
        <w:tc>
          <w:tcPr>
            <w:tcW w:w="992" w:type="dxa"/>
            <w:shd w:val="clear" w:color="auto" w:fill="auto"/>
          </w:tcPr>
          <w:p w:rsidR="00A1647E" w:rsidRPr="006A513F" w:rsidRDefault="00A1647E" w:rsidP="00475020">
            <w:pPr>
              <w:jc w:val="center"/>
              <w:rPr>
                <w:rFonts w:cs="Arial"/>
                <w:sz w:val="20"/>
              </w:rPr>
            </w:pPr>
            <w:r w:rsidRPr="006A513F">
              <w:rPr>
                <w:rFonts w:cs="Arial"/>
                <w:sz w:val="20"/>
              </w:rPr>
              <w:t>6</w:t>
            </w:r>
          </w:p>
          <w:p w:rsidR="00A1647E" w:rsidRPr="006A513F" w:rsidRDefault="00A1647E" w:rsidP="00475020">
            <w:pPr>
              <w:jc w:val="center"/>
              <w:rPr>
                <w:rFonts w:cs="Arial"/>
                <w:sz w:val="20"/>
              </w:rPr>
            </w:pPr>
          </w:p>
        </w:tc>
        <w:tc>
          <w:tcPr>
            <w:tcW w:w="992" w:type="dxa"/>
            <w:shd w:val="clear" w:color="auto" w:fill="auto"/>
          </w:tcPr>
          <w:p w:rsidR="00A1647E" w:rsidRPr="005A6103" w:rsidRDefault="00A1647E" w:rsidP="00475020">
            <w:pPr>
              <w:jc w:val="center"/>
              <w:rPr>
                <w:rFonts w:cs="Arial"/>
                <w:sz w:val="20"/>
              </w:rPr>
            </w:pPr>
            <w:r w:rsidRPr="005A6103">
              <w:rPr>
                <w:rFonts w:cs="Arial"/>
                <w:sz w:val="20"/>
              </w:rPr>
              <w:t>4</w:t>
            </w:r>
          </w:p>
        </w:tc>
        <w:tc>
          <w:tcPr>
            <w:tcW w:w="992" w:type="dxa"/>
            <w:shd w:val="clear" w:color="auto" w:fill="auto"/>
          </w:tcPr>
          <w:p w:rsidR="00A1647E" w:rsidRPr="005A6103" w:rsidRDefault="00A1647E" w:rsidP="00475020">
            <w:pPr>
              <w:jc w:val="center"/>
              <w:rPr>
                <w:rFonts w:cs="Arial"/>
                <w:sz w:val="20"/>
              </w:rPr>
            </w:pPr>
            <w:r w:rsidRPr="005A6103">
              <w:rPr>
                <w:rFonts w:cs="Arial"/>
                <w:sz w:val="20"/>
              </w:rPr>
              <w:t>2</w:t>
            </w:r>
          </w:p>
        </w:tc>
        <w:tc>
          <w:tcPr>
            <w:tcW w:w="992" w:type="dxa"/>
            <w:shd w:val="clear" w:color="auto" w:fill="auto"/>
          </w:tcPr>
          <w:p w:rsidR="00A1647E" w:rsidRDefault="00A1647E" w:rsidP="00475020">
            <w:pPr>
              <w:jc w:val="center"/>
              <w:rPr>
                <w:rFonts w:cs="Arial"/>
                <w:sz w:val="20"/>
              </w:rPr>
            </w:pPr>
            <w:r>
              <w:rPr>
                <w:rFonts w:cs="Arial"/>
                <w:sz w:val="20"/>
              </w:rPr>
              <w:t>2</w:t>
            </w:r>
          </w:p>
          <w:p w:rsidR="00A1647E" w:rsidRDefault="00A1647E" w:rsidP="00475020">
            <w:pPr>
              <w:jc w:val="center"/>
              <w:rPr>
                <w:rFonts w:cs="Arial"/>
                <w:sz w:val="20"/>
              </w:rPr>
            </w:pPr>
          </w:p>
        </w:tc>
        <w:tc>
          <w:tcPr>
            <w:tcW w:w="992" w:type="dxa"/>
            <w:shd w:val="clear" w:color="auto" w:fill="auto"/>
          </w:tcPr>
          <w:p w:rsidR="00A1647E" w:rsidRPr="005D4D2E" w:rsidRDefault="00A1647E" w:rsidP="00475020">
            <w:pPr>
              <w:jc w:val="center"/>
              <w:rPr>
                <w:rFonts w:cs="Arial"/>
                <w:sz w:val="20"/>
              </w:rPr>
            </w:pPr>
            <w:r>
              <w:rPr>
                <w:rFonts w:cs="Arial"/>
                <w:sz w:val="20"/>
              </w:rPr>
              <w:t>4</w:t>
            </w:r>
          </w:p>
        </w:tc>
        <w:tc>
          <w:tcPr>
            <w:tcW w:w="993" w:type="dxa"/>
            <w:shd w:val="clear" w:color="auto" w:fill="auto"/>
          </w:tcPr>
          <w:p w:rsidR="00A1647E" w:rsidRPr="005D4D2E" w:rsidRDefault="00A1647E" w:rsidP="00475020">
            <w:pPr>
              <w:jc w:val="center"/>
              <w:rPr>
                <w:rFonts w:cs="Arial"/>
                <w:b/>
                <w:sz w:val="20"/>
              </w:rPr>
            </w:pPr>
            <w:r>
              <w:rPr>
                <w:rFonts w:cs="Arial"/>
                <w:b/>
                <w:sz w:val="20"/>
              </w:rPr>
              <w:t>12</w:t>
            </w:r>
          </w:p>
        </w:tc>
      </w:tr>
      <w:tr w:rsidR="00A1647E" w:rsidRPr="00103D74" w:rsidTr="006257D4">
        <w:tc>
          <w:tcPr>
            <w:tcW w:w="2127" w:type="dxa"/>
          </w:tcPr>
          <w:p w:rsidR="00A1647E" w:rsidRPr="00FF4B54" w:rsidRDefault="00A1647E" w:rsidP="006257D4">
            <w:pPr>
              <w:rPr>
                <w:b/>
                <w:sz w:val="20"/>
              </w:rPr>
            </w:pPr>
            <w:r>
              <w:rPr>
                <w:b/>
                <w:sz w:val="20"/>
              </w:rPr>
              <w:t>Number of appeals allowed against refusal</w:t>
            </w:r>
          </w:p>
        </w:tc>
        <w:tc>
          <w:tcPr>
            <w:tcW w:w="992" w:type="dxa"/>
          </w:tcPr>
          <w:p w:rsidR="00A1647E" w:rsidRPr="005D4D2E" w:rsidRDefault="00A1647E" w:rsidP="00475020">
            <w:pPr>
              <w:jc w:val="center"/>
              <w:rPr>
                <w:rFonts w:cs="Arial"/>
                <w:b/>
                <w:sz w:val="20"/>
              </w:rPr>
            </w:pPr>
            <w:r w:rsidRPr="005D4D2E">
              <w:rPr>
                <w:rFonts w:cs="Arial"/>
                <w:b/>
                <w:sz w:val="20"/>
              </w:rPr>
              <w:t>2</w:t>
            </w:r>
          </w:p>
        </w:tc>
        <w:tc>
          <w:tcPr>
            <w:tcW w:w="992" w:type="dxa"/>
            <w:shd w:val="clear" w:color="auto" w:fill="auto"/>
          </w:tcPr>
          <w:p w:rsidR="00A1647E" w:rsidRPr="006A513F" w:rsidRDefault="00A1647E" w:rsidP="00475020">
            <w:pPr>
              <w:jc w:val="center"/>
              <w:rPr>
                <w:rFonts w:cs="Arial"/>
                <w:sz w:val="20"/>
              </w:rPr>
            </w:pPr>
            <w:r w:rsidRPr="006A513F">
              <w:rPr>
                <w:rFonts w:cs="Arial"/>
                <w:sz w:val="20"/>
              </w:rPr>
              <w:t>3</w:t>
            </w:r>
          </w:p>
        </w:tc>
        <w:tc>
          <w:tcPr>
            <w:tcW w:w="992" w:type="dxa"/>
            <w:shd w:val="clear" w:color="auto" w:fill="auto"/>
          </w:tcPr>
          <w:p w:rsidR="00A1647E" w:rsidRPr="005A6103" w:rsidRDefault="00A1647E" w:rsidP="00475020">
            <w:pPr>
              <w:jc w:val="center"/>
              <w:rPr>
                <w:rFonts w:cs="Arial"/>
                <w:sz w:val="20"/>
              </w:rPr>
            </w:pPr>
            <w:r w:rsidRPr="005A6103">
              <w:rPr>
                <w:rFonts w:cs="Arial"/>
                <w:sz w:val="20"/>
              </w:rPr>
              <w:t>1</w:t>
            </w:r>
          </w:p>
          <w:p w:rsidR="00A1647E" w:rsidRPr="005A6103" w:rsidRDefault="00A1647E" w:rsidP="00475020">
            <w:pPr>
              <w:jc w:val="center"/>
              <w:rPr>
                <w:rFonts w:cs="Arial"/>
                <w:sz w:val="20"/>
              </w:rPr>
            </w:pPr>
          </w:p>
        </w:tc>
        <w:tc>
          <w:tcPr>
            <w:tcW w:w="992" w:type="dxa"/>
            <w:shd w:val="clear" w:color="auto" w:fill="auto"/>
          </w:tcPr>
          <w:p w:rsidR="00A1647E" w:rsidRPr="005A6103" w:rsidRDefault="00A1647E" w:rsidP="00475020">
            <w:pPr>
              <w:jc w:val="center"/>
              <w:rPr>
                <w:rFonts w:cs="Arial"/>
                <w:sz w:val="20"/>
              </w:rPr>
            </w:pPr>
            <w:r w:rsidRPr="005A6103">
              <w:rPr>
                <w:rFonts w:cs="Arial"/>
                <w:sz w:val="20"/>
              </w:rPr>
              <w:t>1</w:t>
            </w:r>
          </w:p>
        </w:tc>
        <w:tc>
          <w:tcPr>
            <w:tcW w:w="992" w:type="dxa"/>
            <w:shd w:val="clear" w:color="auto" w:fill="auto"/>
          </w:tcPr>
          <w:p w:rsidR="00A1647E" w:rsidRDefault="00A1647E" w:rsidP="00475020">
            <w:pPr>
              <w:jc w:val="center"/>
              <w:rPr>
                <w:rFonts w:cs="Arial"/>
                <w:sz w:val="20"/>
              </w:rPr>
            </w:pPr>
            <w:r>
              <w:rPr>
                <w:rFonts w:cs="Arial"/>
                <w:sz w:val="20"/>
              </w:rPr>
              <w:t>0</w:t>
            </w:r>
          </w:p>
        </w:tc>
        <w:tc>
          <w:tcPr>
            <w:tcW w:w="992" w:type="dxa"/>
            <w:shd w:val="clear" w:color="auto" w:fill="auto"/>
          </w:tcPr>
          <w:p w:rsidR="00A1647E" w:rsidRPr="005D4D2E" w:rsidRDefault="00A1647E" w:rsidP="00475020">
            <w:pPr>
              <w:jc w:val="center"/>
              <w:rPr>
                <w:rFonts w:cs="Arial"/>
                <w:sz w:val="20"/>
              </w:rPr>
            </w:pPr>
            <w:r>
              <w:rPr>
                <w:rFonts w:cs="Arial"/>
                <w:sz w:val="20"/>
              </w:rPr>
              <w:t>3</w:t>
            </w:r>
          </w:p>
        </w:tc>
        <w:tc>
          <w:tcPr>
            <w:tcW w:w="993" w:type="dxa"/>
            <w:shd w:val="clear" w:color="auto" w:fill="auto"/>
          </w:tcPr>
          <w:p w:rsidR="00A1647E" w:rsidRPr="005D4D2E" w:rsidRDefault="00A1647E" w:rsidP="00475020">
            <w:pPr>
              <w:jc w:val="center"/>
              <w:rPr>
                <w:rFonts w:cs="Arial"/>
                <w:b/>
                <w:sz w:val="20"/>
              </w:rPr>
            </w:pPr>
            <w:r>
              <w:rPr>
                <w:rFonts w:cs="Arial"/>
                <w:b/>
                <w:sz w:val="20"/>
              </w:rPr>
              <w:t>5</w:t>
            </w:r>
          </w:p>
        </w:tc>
      </w:tr>
      <w:tr w:rsidR="00A1647E" w:rsidRPr="00103D74" w:rsidTr="006257D4">
        <w:tc>
          <w:tcPr>
            <w:tcW w:w="2127" w:type="dxa"/>
          </w:tcPr>
          <w:p w:rsidR="00A1647E" w:rsidRPr="00FF4B54" w:rsidRDefault="00A1647E" w:rsidP="006257D4">
            <w:pPr>
              <w:rPr>
                <w:b/>
                <w:sz w:val="20"/>
              </w:rPr>
            </w:pPr>
            <w:r>
              <w:rPr>
                <w:b/>
                <w:sz w:val="20"/>
              </w:rPr>
              <w:t>Percentage</w:t>
            </w:r>
            <w:r w:rsidRPr="00FF4B54">
              <w:rPr>
                <w:b/>
                <w:sz w:val="20"/>
              </w:rPr>
              <w:t xml:space="preserve"> of a</w:t>
            </w:r>
            <w:r>
              <w:rPr>
                <w:b/>
                <w:sz w:val="20"/>
              </w:rPr>
              <w:t>ppeals allowed against refusal (a lower percentage = good performance)</w:t>
            </w:r>
          </w:p>
        </w:tc>
        <w:tc>
          <w:tcPr>
            <w:tcW w:w="992" w:type="dxa"/>
          </w:tcPr>
          <w:p w:rsidR="00A1647E" w:rsidRPr="005D4D2E" w:rsidRDefault="00A1647E" w:rsidP="00475020">
            <w:pPr>
              <w:jc w:val="center"/>
              <w:rPr>
                <w:rFonts w:cs="Arial"/>
                <w:b/>
                <w:sz w:val="20"/>
              </w:rPr>
            </w:pPr>
            <w:r w:rsidRPr="005D4D2E">
              <w:rPr>
                <w:rFonts w:cs="Arial"/>
                <w:b/>
                <w:sz w:val="20"/>
              </w:rPr>
              <w:t>40%</w:t>
            </w:r>
          </w:p>
        </w:tc>
        <w:tc>
          <w:tcPr>
            <w:tcW w:w="992" w:type="dxa"/>
            <w:shd w:val="clear" w:color="auto" w:fill="auto"/>
          </w:tcPr>
          <w:p w:rsidR="00A1647E" w:rsidRPr="006A513F" w:rsidRDefault="00A1647E" w:rsidP="00475020">
            <w:pPr>
              <w:jc w:val="center"/>
              <w:rPr>
                <w:rFonts w:cs="Arial"/>
                <w:sz w:val="20"/>
              </w:rPr>
            </w:pPr>
            <w:r w:rsidRPr="006A513F">
              <w:rPr>
                <w:rFonts w:cs="Arial"/>
                <w:sz w:val="20"/>
              </w:rPr>
              <w:t>50%</w:t>
            </w:r>
          </w:p>
        </w:tc>
        <w:tc>
          <w:tcPr>
            <w:tcW w:w="992" w:type="dxa"/>
            <w:shd w:val="clear" w:color="auto" w:fill="auto"/>
          </w:tcPr>
          <w:p w:rsidR="00A1647E" w:rsidRDefault="00A1647E" w:rsidP="00475020">
            <w:pPr>
              <w:jc w:val="center"/>
              <w:rPr>
                <w:rFonts w:cs="Arial"/>
                <w:sz w:val="20"/>
              </w:rPr>
            </w:pPr>
            <w:r>
              <w:rPr>
                <w:rFonts w:cs="Arial"/>
                <w:sz w:val="20"/>
              </w:rPr>
              <w:t>25%</w:t>
            </w:r>
          </w:p>
        </w:tc>
        <w:tc>
          <w:tcPr>
            <w:tcW w:w="992" w:type="dxa"/>
            <w:shd w:val="clear" w:color="auto" w:fill="auto"/>
          </w:tcPr>
          <w:p w:rsidR="00A1647E" w:rsidRDefault="00A1647E" w:rsidP="00475020">
            <w:pPr>
              <w:jc w:val="center"/>
              <w:rPr>
                <w:rFonts w:cs="Arial"/>
                <w:sz w:val="20"/>
              </w:rPr>
            </w:pPr>
            <w:r>
              <w:rPr>
                <w:rFonts w:cs="Arial"/>
                <w:sz w:val="20"/>
              </w:rPr>
              <w:t>50%</w:t>
            </w:r>
          </w:p>
        </w:tc>
        <w:tc>
          <w:tcPr>
            <w:tcW w:w="992" w:type="dxa"/>
            <w:shd w:val="clear" w:color="auto" w:fill="auto"/>
          </w:tcPr>
          <w:p w:rsidR="00A1647E" w:rsidRDefault="00A1647E" w:rsidP="00475020">
            <w:pPr>
              <w:jc w:val="center"/>
              <w:rPr>
                <w:rFonts w:cs="Arial"/>
                <w:sz w:val="20"/>
              </w:rPr>
            </w:pPr>
            <w:r>
              <w:rPr>
                <w:rFonts w:cs="Arial"/>
                <w:sz w:val="20"/>
              </w:rPr>
              <w:t>100%</w:t>
            </w:r>
          </w:p>
        </w:tc>
        <w:tc>
          <w:tcPr>
            <w:tcW w:w="992" w:type="dxa"/>
            <w:shd w:val="clear" w:color="auto" w:fill="auto"/>
          </w:tcPr>
          <w:p w:rsidR="00A1647E" w:rsidRDefault="00A1647E" w:rsidP="00475020">
            <w:pPr>
              <w:jc w:val="center"/>
              <w:rPr>
                <w:rFonts w:cs="Arial"/>
                <w:sz w:val="20"/>
              </w:rPr>
            </w:pPr>
            <w:r>
              <w:rPr>
                <w:rFonts w:cs="Arial"/>
                <w:sz w:val="20"/>
              </w:rPr>
              <w:t>75%</w:t>
            </w:r>
          </w:p>
          <w:p w:rsidR="00A1647E" w:rsidRPr="005D4D2E" w:rsidRDefault="00A1647E" w:rsidP="00475020">
            <w:pPr>
              <w:jc w:val="center"/>
              <w:rPr>
                <w:rFonts w:cs="Arial"/>
                <w:sz w:val="20"/>
              </w:rPr>
            </w:pPr>
          </w:p>
        </w:tc>
        <w:tc>
          <w:tcPr>
            <w:tcW w:w="993" w:type="dxa"/>
            <w:shd w:val="clear" w:color="auto" w:fill="auto"/>
          </w:tcPr>
          <w:p w:rsidR="00A1647E" w:rsidRPr="005D4D2E" w:rsidRDefault="00A1647E" w:rsidP="00475020">
            <w:pPr>
              <w:jc w:val="center"/>
              <w:rPr>
                <w:rFonts w:cs="Arial"/>
                <w:b/>
                <w:sz w:val="20"/>
              </w:rPr>
            </w:pPr>
            <w:r>
              <w:rPr>
                <w:rFonts w:cs="Arial"/>
                <w:b/>
                <w:sz w:val="20"/>
              </w:rPr>
              <w:t>42%</w:t>
            </w:r>
          </w:p>
        </w:tc>
      </w:tr>
    </w:tbl>
    <w:p w:rsidR="00A1647E" w:rsidRDefault="00A1647E" w:rsidP="00A1647E">
      <w:pPr>
        <w:jc w:val="both"/>
      </w:pPr>
    </w:p>
    <w:p w:rsidR="00A1647E" w:rsidRDefault="006D6AF4" w:rsidP="006D6AF4">
      <w:pPr>
        <w:ind w:left="567" w:hanging="567"/>
        <w:jc w:val="both"/>
      </w:pPr>
      <w:r>
        <w:t>5.6</w:t>
      </w:r>
      <w:r>
        <w:tab/>
      </w:r>
      <w:r w:rsidR="00A1647E">
        <w:t>The number of appeals in South Ribble is generally very low. There have only been 12 appeals received of which 5 were allowed on appeal. The performance figures therefore need to be seen in the context of the low numbers of appeals in South Ribble which is an indication in itself that the right planning decisions are being made.</w:t>
      </w:r>
    </w:p>
    <w:p w:rsidR="00A1647E" w:rsidRPr="006D6AF4" w:rsidRDefault="00A1647E" w:rsidP="00A1647E">
      <w:pPr>
        <w:rPr>
          <w:i/>
        </w:rPr>
      </w:pPr>
    </w:p>
    <w:p w:rsidR="00A1647E" w:rsidRPr="006D6AF4" w:rsidRDefault="00A1647E" w:rsidP="006D6AF4">
      <w:pPr>
        <w:ind w:firstLine="567"/>
        <w:rPr>
          <w:b/>
          <w:i/>
        </w:rPr>
      </w:pPr>
      <w:r w:rsidRPr="006D6AF4">
        <w:rPr>
          <w:b/>
          <w:i/>
        </w:rPr>
        <w:t>Planning Policy</w:t>
      </w:r>
    </w:p>
    <w:p w:rsidR="00A1647E" w:rsidRDefault="00A1647E" w:rsidP="00A1647E"/>
    <w:p w:rsidR="00A1647E" w:rsidRDefault="006D6AF4" w:rsidP="006D6AF4">
      <w:pPr>
        <w:ind w:left="567" w:hanging="567"/>
        <w:jc w:val="both"/>
      </w:pPr>
      <w:r>
        <w:t>5.7</w:t>
      </w:r>
      <w:r>
        <w:tab/>
      </w:r>
      <w:r w:rsidR="00A1647E">
        <w:t>Key activities during the year 2017/18:</w:t>
      </w:r>
    </w:p>
    <w:p w:rsidR="00A1647E" w:rsidRPr="006D6AF4" w:rsidRDefault="00A1647E" w:rsidP="00A1647E">
      <w:pPr>
        <w:jc w:val="both"/>
        <w:rPr>
          <w:rFonts w:cs="Arial"/>
        </w:rPr>
      </w:pPr>
    </w:p>
    <w:p w:rsidR="00A1647E" w:rsidRPr="006D6AF4" w:rsidRDefault="00A1647E" w:rsidP="006D6AF4">
      <w:pPr>
        <w:pStyle w:val="ListParagraph"/>
        <w:numPr>
          <w:ilvl w:val="0"/>
          <w:numId w:val="16"/>
        </w:numPr>
        <w:ind w:left="1134" w:hanging="567"/>
        <w:rPr>
          <w:rFonts w:ascii="Arial" w:hAnsi="Arial" w:cs="Arial"/>
        </w:rPr>
      </w:pPr>
      <w:r w:rsidRPr="006D6AF4">
        <w:rPr>
          <w:rFonts w:ascii="Arial" w:hAnsi="Arial" w:cs="Arial"/>
        </w:rPr>
        <w:t>Penwortham Neighbourhood Plan adopted March 2017</w:t>
      </w:r>
    </w:p>
    <w:p w:rsidR="00A1647E" w:rsidRPr="006D6AF4" w:rsidRDefault="00A1647E" w:rsidP="006D6AF4">
      <w:pPr>
        <w:pStyle w:val="ListParagraph"/>
        <w:numPr>
          <w:ilvl w:val="0"/>
          <w:numId w:val="16"/>
        </w:numPr>
        <w:ind w:left="1134" w:hanging="567"/>
        <w:rPr>
          <w:rFonts w:ascii="Arial" w:hAnsi="Arial" w:cs="Arial"/>
        </w:rPr>
      </w:pPr>
      <w:r w:rsidRPr="006D6AF4">
        <w:rPr>
          <w:rFonts w:ascii="Arial" w:hAnsi="Arial" w:cs="Arial"/>
        </w:rPr>
        <w:t>Employment and Skills Supplementary Planning Document adopted September 2017</w:t>
      </w:r>
    </w:p>
    <w:p w:rsidR="00A1647E" w:rsidRPr="006D6AF4" w:rsidRDefault="00A1647E" w:rsidP="006D6AF4">
      <w:pPr>
        <w:pStyle w:val="ListParagraph"/>
        <w:numPr>
          <w:ilvl w:val="0"/>
          <w:numId w:val="16"/>
        </w:numPr>
        <w:ind w:left="1134" w:hanging="567"/>
        <w:rPr>
          <w:rFonts w:ascii="Arial" w:hAnsi="Arial" w:cs="Arial"/>
        </w:rPr>
      </w:pPr>
      <w:r w:rsidRPr="006D6AF4">
        <w:rPr>
          <w:rFonts w:ascii="Arial" w:hAnsi="Arial" w:cs="Arial"/>
        </w:rPr>
        <w:t>Central Lancashire Local Plan Review commenced with funding of £250k from Central Government</w:t>
      </w:r>
    </w:p>
    <w:p w:rsidR="00A1647E" w:rsidRPr="006D6AF4" w:rsidRDefault="00A1647E" w:rsidP="006D6AF4">
      <w:pPr>
        <w:pStyle w:val="ListParagraph"/>
        <w:numPr>
          <w:ilvl w:val="0"/>
          <w:numId w:val="16"/>
        </w:numPr>
        <w:ind w:left="1134" w:hanging="567"/>
        <w:rPr>
          <w:rFonts w:ascii="Arial" w:hAnsi="Arial" w:cs="Arial"/>
        </w:rPr>
      </w:pPr>
      <w:r w:rsidRPr="006D6AF4">
        <w:rPr>
          <w:rFonts w:ascii="Arial" w:hAnsi="Arial" w:cs="Arial"/>
        </w:rPr>
        <w:t>Strategic Housing Market Assessment study completed in 2017</w:t>
      </w:r>
    </w:p>
    <w:p w:rsidR="00A1647E" w:rsidRPr="006D6AF4" w:rsidRDefault="00A1647E" w:rsidP="006D6AF4">
      <w:pPr>
        <w:pStyle w:val="ListParagraph"/>
        <w:numPr>
          <w:ilvl w:val="0"/>
          <w:numId w:val="16"/>
        </w:numPr>
        <w:ind w:left="1134" w:hanging="567"/>
        <w:rPr>
          <w:rFonts w:ascii="Arial" w:hAnsi="Arial" w:cs="Arial"/>
        </w:rPr>
      </w:pPr>
      <w:r w:rsidRPr="006D6AF4">
        <w:rPr>
          <w:rFonts w:ascii="Arial" w:hAnsi="Arial" w:cs="Arial"/>
        </w:rPr>
        <w:t>Employment Land Needs and Supply Study completed in 2017</w:t>
      </w:r>
    </w:p>
    <w:p w:rsidR="00A1647E" w:rsidRPr="006D6AF4" w:rsidRDefault="00A1647E" w:rsidP="006D6AF4">
      <w:pPr>
        <w:pStyle w:val="ListParagraph"/>
        <w:numPr>
          <w:ilvl w:val="0"/>
          <w:numId w:val="16"/>
        </w:numPr>
        <w:ind w:left="1134" w:hanging="567"/>
        <w:rPr>
          <w:rFonts w:ascii="Arial" w:hAnsi="Arial" w:cs="Arial"/>
        </w:rPr>
      </w:pPr>
      <w:r w:rsidRPr="006D6AF4">
        <w:rPr>
          <w:rFonts w:ascii="Arial" w:hAnsi="Arial" w:cs="Arial"/>
        </w:rPr>
        <w:t>Retail and Town Centre Uses Study completed in 2017</w:t>
      </w:r>
    </w:p>
    <w:p w:rsidR="00A1647E" w:rsidRPr="006D6AF4" w:rsidRDefault="00A1647E" w:rsidP="006D6AF4">
      <w:pPr>
        <w:pStyle w:val="ListParagraph"/>
        <w:numPr>
          <w:ilvl w:val="0"/>
          <w:numId w:val="16"/>
        </w:numPr>
        <w:ind w:left="1134" w:hanging="567"/>
        <w:rPr>
          <w:rFonts w:ascii="Arial" w:hAnsi="Arial" w:cs="Arial"/>
        </w:rPr>
      </w:pPr>
      <w:r w:rsidRPr="006D6AF4">
        <w:rPr>
          <w:rFonts w:ascii="Arial" w:hAnsi="Arial" w:cs="Arial"/>
        </w:rPr>
        <w:t>Test Track Masterplan Adopted September 2017</w:t>
      </w:r>
    </w:p>
    <w:p w:rsidR="00A1647E" w:rsidRPr="006D6AF4" w:rsidRDefault="00A1647E" w:rsidP="006D6AF4">
      <w:pPr>
        <w:pStyle w:val="ListParagraph"/>
        <w:numPr>
          <w:ilvl w:val="0"/>
          <w:numId w:val="16"/>
        </w:numPr>
        <w:ind w:left="1134" w:hanging="567"/>
        <w:rPr>
          <w:rFonts w:ascii="Arial" w:hAnsi="Arial" w:cs="Arial"/>
        </w:rPr>
      </w:pPr>
      <w:r w:rsidRPr="006D6AF4">
        <w:rPr>
          <w:rFonts w:ascii="Arial" w:hAnsi="Arial" w:cs="Arial"/>
        </w:rPr>
        <w:t>City Deal key role in bringing sites forward and monitoring development</w:t>
      </w:r>
    </w:p>
    <w:p w:rsidR="00A1647E" w:rsidRPr="006D6AF4" w:rsidRDefault="00A1647E" w:rsidP="006D6AF4">
      <w:pPr>
        <w:pStyle w:val="ListParagraph"/>
        <w:numPr>
          <w:ilvl w:val="0"/>
          <w:numId w:val="16"/>
        </w:numPr>
        <w:spacing w:after="0" w:line="240" w:lineRule="auto"/>
        <w:ind w:left="1134" w:hanging="567"/>
        <w:rPr>
          <w:rFonts w:ascii="Arial" w:hAnsi="Arial" w:cs="Arial"/>
        </w:rPr>
      </w:pPr>
      <w:r w:rsidRPr="006D6AF4">
        <w:rPr>
          <w:rFonts w:ascii="Arial" w:hAnsi="Arial" w:cs="Arial"/>
        </w:rPr>
        <w:t xml:space="preserve">Preparation of and consultation on the Local List of Buildings for Penwortham and Leyland </w:t>
      </w:r>
    </w:p>
    <w:p w:rsidR="00A1647E" w:rsidRPr="006D6AF4" w:rsidRDefault="00A1647E" w:rsidP="006D6AF4">
      <w:pPr>
        <w:pStyle w:val="ListParagraph"/>
        <w:numPr>
          <w:ilvl w:val="0"/>
          <w:numId w:val="16"/>
        </w:numPr>
        <w:spacing w:after="0" w:line="240" w:lineRule="auto"/>
        <w:ind w:left="1134" w:hanging="567"/>
        <w:rPr>
          <w:rFonts w:ascii="Arial" w:hAnsi="Arial" w:cs="Arial"/>
        </w:rPr>
      </w:pPr>
      <w:r w:rsidRPr="006D6AF4">
        <w:rPr>
          <w:rFonts w:ascii="Arial" w:hAnsi="Arial" w:cs="Arial"/>
        </w:rPr>
        <w:t>Procured and commenced work on Open Space Sports and Recreation Assessment</w:t>
      </w:r>
    </w:p>
    <w:p w:rsidR="00A1647E" w:rsidRPr="006D6AF4" w:rsidRDefault="00A1647E" w:rsidP="006D6AF4">
      <w:pPr>
        <w:pStyle w:val="ListParagraph"/>
        <w:numPr>
          <w:ilvl w:val="0"/>
          <w:numId w:val="16"/>
        </w:numPr>
        <w:spacing w:after="0" w:line="240" w:lineRule="auto"/>
        <w:ind w:left="1134" w:hanging="567"/>
        <w:rPr>
          <w:rFonts w:ascii="Arial" w:hAnsi="Arial" w:cs="Arial"/>
          <w:color w:val="000000" w:themeColor="text1"/>
        </w:rPr>
      </w:pPr>
      <w:r w:rsidRPr="006D6AF4">
        <w:rPr>
          <w:rFonts w:ascii="Arial" w:hAnsi="Arial" w:cs="Arial"/>
          <w:color w:val="000000" w:themeColor="text1"/>
        </w:rPr>
        <w:t>City Deal Monitoring – all deadlines met for reporting of information.</w:t>
      </w:r>
    </w:p>
    <w:p w:rsidR="00A1647E" w:rsidRPr="006D6AF4" w:rsidRDefault="00A1647E" w:rsidP="006D6AF4">
      <w:pPr>
        <w:pStyle w:val="ListParagraph"/>
        <w:numPr>
          <w:ilvl w:val="0"/>
          <w:numId w:val="16"/>
        </w:numPr>
        <w:spacing w:after="0" w:line="240" w:lineRule="auto"/>
        <w:ind w:left="1134" w:hanging="567"/>
        <w:rPr>
          <w:rFonts w:ascii="Arial" w:hAnsi="Arial" w:cs="Arial"/>
        </w:rPr>
      </w:pPr>
      <w:r w:rsidRPr="006D6AF4">
        <w:rPr>
          <w:rFonts w:ascii="Arial" w:hAnsi="Arial" w:cs="Arial"/>
        </w:rPr>
        <w:t>Preparation of Annual Monitoring Report and associated survey work</w:t>
      </w:r>
    </w:p>
    <w:p w:rsidR="00A1647E" w:rsidRPr="006D6AF4" w:rsidRDefault="00A1647E" w:rsidP="006D6AF4">
      <w:pPr>
        <w:pStyle w:val="ListParagraph"/>
        <w:numPr>
          <w:ilvl w:val="0"/>
          <w:numId w:val="16"/>
        </w:numPr>
        <w:spacing w:after="0" w:line="240" w:lineRule="auto"/>
        <w:ind w:left="1134" w:hanging="567"/>
        <w:rPr>
          <w:rFonts w:ascii="Arial" w:hAnsi="Arial" w:cs="Arial"/>
        </w:rPr>
      </w:pPr>
      <w:r w:rsidRPr="006D6AF4">
        <w:rPr>
          <w:rFonts w:ascii="Arial" w:hAnsi="Arial" w:cs="Arial"/>
        </w:rPr>
        <w:t xml:space="preserve">Continued input into Master planning work – Test Track and </w:t>
      </w:r>
      <w:proofErr w:type="spellStart"/>
      <w:r w:rsidRPr="006D6AF4">
        <w:rPr>
          <w:rFonts w:ascii="Arial" w:hAnsi="Arial" w:cs="Arial"/>
        </w:rPr>
        <w:t>Pickerings</w:t>
      </w:r>
      <w:proofErr w:type="spellEnd"/>
      <w:r w:rsidRPr="006D6AF4">
        <w:rPr>
          <w:rFonts w:ascii="Arial" w:hAnsi="Arial" w:cs="Arial"/>
        </w:rPr>
        <w:t xml:space="preserve"> Farm</w:t>
      </w:r>
    </w:p>
    <w:p w:rsidR="00A1647E" w:rsidRPr="006D6AF4" w:rsidRDefault="00A1647E" w:rsidP="006D6AF4">
      <w:pPr>
        <w:pStyle w:val="ListParagraph"/>
        <w:numPr>
          <w:ilvl w:val="0"/>
          <w:numId w:val="16"/>
        </w:numPr>
        <w:spacing w:after="0" w:line="240" w:lineRule="auto"/>
        <w:ind w:left="1134" w:hanging="567"/>
        <w:rPr>
          <w:rFonts w:ascii="Arial" w:hAnsi="Arial" w:cs="Arial"/>
        </w:rPr>
      </w:pPr>
      <w:r w:rsidRPr="006D6AF4">
        <w:rPr>
          <w:rFonts w:ascii="Arial" w:hAnsi="Arial" w:cs="Arial"/>
        </w:rPr>
        <w:t>Input into the Preston City Transport Plan</w:t>
      </w:r>
    </w:p>
    <w:p w:rsidR="003F3195" w:rsidRDefault="00A1647E" w:rsidP="003F3195">
      <w:pPr>
        <w:pStyle w:val="ListParagraph"/>
        <w:numPr>
          <w:ilvl w:val="0"/>
          <w:numId w:val="16"/>
        </w:numPr>
        <w:spacing w:after="0" w:line="240" w:lineRule="auto"/>
        <w:ind w:left="1134" w:hanging="567"/>
        <w:rPr>
          <w:rFonts w:ascii="Arial" w:hAnsi="Arial" w:cs="Arial"/>
        </w:rPr>
      </w:pPr>
      <w:r w:rsidRPr="006D6AF4">
        <w:rPr>
          <w:rFonts w:ascii="Arial" w:hAnsi="Arial" w:cs="Arial"/>
        </w:rPr>
        <w:t>Annual update brownfield register</w:t>
      </w:r>
    </w:p>
    <w:p w:rsidR="003F3195" w:rsidRDefault="003F3195" w:rsidP="003F3195">
      <w:pPr>
        <w:pStyle w:val="ListParagraph"/>
        <w:numPr>
          <w:ilvl w:val="0"/>
          <w:numId w:val="16"/>
        </w:numPr>
        <w:spacing w:after="0" w:line="240" w:lineRule="auto"/>
        <w:ind w:left="1134" w:hanging="567"/>
        <w:rPr>
          <w:rFonts w:ascii="Arial" w:hAnsi="Arial" w:cs="Arial"/>
        </w:rPr>
      </w:pPr>
      <w:r w:rsidRPr="003F3195">
        <w:rPr>
          <w:rFonts w:ascii="Arial" w:hAnsi="Arial" w:cs="Arial"/>
        </w:rPr>
        <w:t>Twice yearly monitoring of Housing completions and annual uptake of Employment Land and town centre surveys - Preparation of Annual Monitoring Report, SHLAA/Housing Land Employment Land and Retail Position Statement</w:t>
      </w:r>
    </w:p>
    <w:p w:rsidR="003F3195" w:rsidRDefault="003F3195" w:rsidP="003F3195">
      <w:pPr>
        <w:pStyle w:val="ListParagraph"/>
        <w:numPr>
          <w:ilvl w:val="0"/>
          <w:numId w:val="16"/>
        </w:numPr>
        <w:spacing w:after="0" w:line="240" w:lineRule="auto"/>
        <w:ind w:left="1134" w:hanging="567"/>
        <w:rPr>
          <w:rFonts w:ascii="Arial" w:hAnsi="Arial" w:cs="Arial"/>
        </w:rPr>
      </w:pPr>
      <w:r w:rsidRPr="003F3195">
        <w:rPr>
          <w:rFonts w:ascii="Arial" w:hAnsi="Arial" w:cs="Arial"/>
        </w:rPr>
        <w:t>Input into Central Lancashire Cycling and Walking Delivery Plan</w:t>
      </w:r>
    </w:p>
    <w:p w:rsidR="003F3195" w:rsidRDefault="003F3195" w:rsidP="003F3195">
      <w:pPr>
        <w:pStyle w:val="ListParagraph"/>
        <w:numPr>
          <w:ilvl w:val="0"/>
          <w:numId w:val="16"/>
        </w:numPr>
        <w:spacing w:after="0" w:line="240" w:lineRule="auto"/>
        <w:ind w:left="1134" w:hanging="567"/>
        <w:rPr>
          <w:rFonts w:ascii="Arial" w:hAnsi="Arial" w:cs="Arial"/>
        </w:rPr>
      </w:pPr>
      <w:r w:rsidRPr="003F3195">
        <w:rPr>
          <w:rFonts w:ascii="Arial" w:hAnsi="Arial" w:cs="Arial"/>
        </w:rPr>
        <w:t>Preparation and consultation on Green Belt Infill SPD</w:t>
      </w:r>
    </w:p>
    <w:p w:rsidR="003F3195" w:rsidRDefault="003F3195" w:rsidP="003F3195">
      <w:pPr>
        <w:pStyle w:val="ListParagraph"/>
        <w:numPr>
          <w:ilvl w:val="0"/>
          <w:numId w:val="16"/>
        </w:numPr>
        <w:spacing w:after="0" w:line="240" w:lineRule="auto"/>
        <w:ind w:left="1134" w:hanging="567"/>
        <w:rPr>
          <w:rFonts w:ascii="Arial" w:hAnsi="Arial" w:cs="Arial"/>
        </w:rPr>
      </w:pPr>
      <w:r w:rsidRPr="003F3195">
        <w:rPr>
          <w:rFonts w:ascii="Arial" w:hAnsi="Arial" w:cs="Arial"/>
        </w:rPr>
        <w:t>Monitoring of all S106 Agreements and streamlining the process.</w:t>
      </w:r>
    </w:p>
    <w:p w:rsidR="003F3195" w:rsidRDefault="003F3195" w:rsidP="003F3195">
      <w:pPr>
        <w:pStyle w:val="ListParagraph"/>
        <w:numPr>
          <w:ilvl w:val="0"/>
          <w:numId w:val="16"/>
        </w:numPr>
        <w:spacing w:after="0" w:line="240" w:lineRule="auto"/>
        <w:ind w:left="1134" w:hanging="567"/>
        <w:rPr>
          <w:rFonts w:ascii="Arial" w:hAnsi="Arial" w:cs="Arial"/>
        </w:rPr>
      </w:pPr>
      <w:r w:rsidRPr="003F3195">
        <w:rPr>
          <w:rFonts w:ascii="Arial" w:hAnsi="Arial" w:cs="Arial"/>
        </w:rPr>
        <w:t xml:space="preserve">Commencement of the review of all </w:t>
      </w:r>
      <w:r>
        <w:rPr>
          <w:rFonts w:ascii="Arial" w:hAnsi="Arial" w:cs="Arial"/>
        </w:rPr>
        <w:t>South Ribble Local Plan policies</w:t>
      </w:r>
    </w:p>
    <w:p w:rsidR="003F3195" w:rsidRPr="003F3195" w:rsidRDefault="003F3195" w:rsidP="003F3195">
      <w:pPr>
        <w:pStyle w:val="ListParagraph"/>
        <w:numPr>
          <w:ilvl w:val="0"/>
          <w:numId w:val="16"/>
        </w:numPr>
        <w:spacing w:after="0" w:line="240" w:lineRule="auto"/>
        <w:ind w:left="1134" w:hanging="567"/>
        <w:rPr>
          <w:rFonts w:ascii="Arial" w:hAnsi="Arial" w:cs="Arial"/>
        </w:rPr>
      </w:pPr>
      <w:r w:rsidRPr="003F3195">
        <w:rPr>
          <w:rFonts w:ascii="Arial" w:hAnsi="Arial" w:cs="Arial"/>
        </w:rPr>
        <w:lastRenderedPageBreak/>
        <w:t>Production/circulation of two planning policy newsletters</w:t>
      </w:r>
    </w:p>
    <w:p w:rsidR="00A1647E" w:rsidRDefault="00A1647E" w:rsidP="00A1647E">
      <w:pPr>
        <w:jc w:val="both"/>
      </w:pPr>
    </w:p>
    <w:p w:rsidR="00A1647E" w:rsidRPr="006D6AF4" w:rsidRDefault="00A1647E" w:rsidP="006D6AF4">
      <w:pPr>
        <w:ind w:firstLine="567"/>
        <w:jc w:val="both"/>
        <w:rPr>
          <w:b/>
          <w:i/>
        </w:rPr>
      </w:pPr>
      <w:r w:rsidRPr="006D6AF4">
        <w:rPr>
          <w:b/>
          <w:i/>
        </w:rPr>
        <w:t>Planning Enforcement</w:t>
      </w:r>
    </w:p>
    <w:p w:rsidR="00A1647E" w:rsidRDefault="00A1647E" w:rsidP="00A1647E">
      <w:pPr>
        <w:jc w:val="both"/>
      </w:pPr>
    </w:p>
    <w:p w:rsidR="003A6D19" w:rsidRPr="003A6D19" w:rsidRDefault="003A6D19" w:rsidP="003A6D19">
      <w:pPr>
        <w:ind w:left="567" w:hanging="567"/>
        <w:jc w:val="both"/>
      </w:pPr>
      <w:r w:rsidRPr="003A6D19">
        <w:t>5.8</w:t>
      </w:r>
      <w:r w:rsidRPr="003A6D19">
        <w:tab/>
        <w:t xml:space="preserve">Planning Enforcement continues to be very busy with a number of ongoing cases. </w:t>
      </w:r>
      <w:r w:rsidR="00CF37EA">
        <w:t xml:space="preserve">In the year 2017/18 278 new cases were received and 222 were closed down. </w:t>
      </w:r>
      <w:r w:rsidRPr="003A6D19">
        <w:t>The current workload</w:t>
      </w:r>
      <w:r w:rsidR="00CF37EA">
        <w:t xml:space="preserve"> as at the time of writing the report</w:t>
      </w:r>
      <w:r w:rsidRPr="003A6D19">
        <w:t xml:space="preserve"> is summarised below</w:t>
      </w:r>
    </w:p>
    <w:p w:rsidR="003A6D19" w:rsidRDefault="003A6D19" w:rsidP="00A1647E">
      <w:pPr>
        <w:jc w:val="both"/>
      </w:pPr>
    </w:p>
    <w:p w:rsidR="003A6D19" w:rsidRPr="00E10407" w:rsidRDefault="003A6D19" w:rsidP="003A6D19">
      <w:pPr>
        <w:ind w:firstLine="567"/>
        <w:rPr>
          <w:b/>
          <w:sz w:val="20"/>
        </w:rPr>
      </w:pPr>
      <w:r w:rsidRPr="00E10407">
        <w:rPr>
          <w:b/>
          <w:sz w:val="20"/>
        </w:rPr>
        <w:t xml:space="preserve">Table 6 </w:t>
      </w:r>
      <w:r>
        <w:rPr>
          <w:b/>
          <w:sz w:val="20"/>
        </w:rPr>
        <w:t>Current Enforcement Cases</w:t>
      </w:r>
    </w:p>
    <w:tbl>
      <w:tblPr>
        <w:tblStyle w:val="TableGrid"/>
        <w:tblW w:w="8789" w:type="dxa"/>
        <w:tblInd w:w="562" w:type="dxa"/>
        <w:tblLook w:val="04A0" w:firstRow="1" w:lastRow="0" w:firstColumn="1" w:lastColumn="0" w:noHBand="0" w:noVBand="1"/>
      </w:tblPr>
      <w:tblGrid>
        <w:gridCol w:w="1786"/>
        <w:gridCol w:w="1786"/>
        <w:gridCol w:w="1786"/>
        <w:gridCol w:w="1786"/>
        <w:gridCol w:w="1645"/>
      </w:tblGrid>
      <w:tr w:rsidR="003A6D19" w:rsidRPr="007C083D" w:rsidTr="003A6D19">
        <w:tc>
          <w:tcPr>
            <w:tcW w:w="1786" w:type="dxa"/>
            <w:shd w:val="clear" w:color="auto" w:fill="D9D9D9" w:themeFill="background1" w:themeFillShade="D9"/>
          </w:tcPr>
          <w:p w:rsidR="003A6D19" w:rsidRPr="00E10407" w:rsidRDefault="003A6D19" w:rsidP="00F929BE">
            <w:pPr>
              <w:jc w:val="center"/>
              <w:rPr>
                <w:b/>
                <w:sz w:val="20"/>
              </w:rPr>
            </w:pPr>
            <w:r w:rsidRPr="00E10407">
              <w:rPr>
                <w:b/>
                <w:sz w:val="20"/>
              </w:rPr>
              <w:t>High Priority</w:t>
            </w:r>
          </w:p>
        </w:tc>
        <w:tc>
          <w:tcPr>
            <w:tcW w:w="1786" w:type="dxa"/>
            <w:shd w:val="clear" w:color="auto" w:fill="D9D9D9" w:themeFill="background1" w:themeFillShade="D9"/>
          </w:tcPr>
          <w:p w:rsidR="003A6D19" w:rsidRPr="00E10407" w:rsidRDefault="003A6D19" w:rsidP="00F929BE">
            <w:pPr>
              <w:jc w:val="center"/>
              <w:rPr>
                <w:b/>
                <w:sz w:val="20"/>
              </w:rPr>
            </w:pPr>
            <w:r w:rsidRPr="00E10407">
              <w:rPr>
                <w:b/>
                <w:sz w:val="20"/>
              </w:rPr>
              <w:t>Lower Priority</w:t>
            </w:r>
          </w:p>
        </w:tc>
        <w:tc>
          <w:tcPr>
            <w:tcW w:w="1786" w:type="dxa"/>
            <w:shd w:val="clear" w:color="auto" w:fill="D9D9D9" w:themeFill="background1" w:themeFillShade="D9"/>
          </w:tcPr>
          <w:p w:rsidR="003A6D19" w:rsidRPr="00E10407" w:rsidRDefault="003A6D19" w:rsidP="00F929BE">
            <w:pPr>
              <w:jc w:val="center"/>
              <w:rPr>
                <w:b/>
                <w:sz w:val="20"/>
              </w:rPr>
            </w:pPr>
            <w:r w:rsidRPr="00E10407">
              <w:rPr>
                <w:b/>
                <w:sz w:val="20"/>
              </w:rPr>
              <w:t>Total</w:t>
            </w:r>
          </w:p>
        </w:tc>
        <w:tc>
          <w:tcPr>
            <w:tcW w:w="1786" w:type="dxa"/>
            <w:shd w:val="clear" w:color="auto" w:fill="D9D9D9" w:themeFill="background1" w:themeFillShade="D9"/>
          </w:tcPr>
          <w:p w:rsidR="003A6D19" w:rsidRPr="00E10407" w:rsidRDefault="003A6D19" w:rsidP="00F929BE">
            <w:pPr>
              <w:jc w:val="center"/>
              <w:rPr>
                <w:b/>
                <w:sz w:val="20"/>
              </w:rPr>
            </w:pPr>
            <w:r w:rsidRPr="00E10407">
              <w:rPr>
                <w:b/>
                <w:sz w:val="20"/>
              </w:rPr>
              <w:t>Awaiting Magistrates Court</w:t>
            </w:r>
          </w:p>
        </w:tc>
        <w:tc>
          <w:tcPr>
            <w:tcW w:w="1645" w:type="dxa"/>
            <w:shd w:val="clear" w:color="auto" w:fill="D9D9D9" w:themeFill="background1" w:themeFillShade="D9"/>
          </w:tcPr>
          <w:p w:rsidR="003A6D19" w:rsidRPr="00E10407" w:rsidRDefault="003A6D19" w:rsidP="00F929BE">
            <w:pPr>
              <w:jc w:val="center"/>
              <w:rPr>
                <w:b/>
                <w:sz w:val="20"/>
              </w:rPr>
            </w:pPr>
            <w:r w:rsidRPr="00E10407">
              <w:rPr>
                <w:b/>
                <w:sz w:val="20"/>
              </w:rPr>
              <w:t>Awaiting Service of Notice From Legal</w:t>
            </w:r>
          </w:p>
        </w:tc>
      </w:tr>
      <w:tr w:rsidR="003A6D19" w:rsidRPr="007C083D" w:rsidTr="003A6D19">
        <w:tc>
          <w:tcPr>
            <w:tcW w:w="1786" w:type="dxa"/>
            <w:shd w:val="clear" w:color="auto" w:fill="auto"/>
          </w:tcPr>
          <w:p w:rsidR="003A6D19" w:rsidRPr="00E10407" w:rsidRDefault="003A6D19" w:rsidP="00F929BE">
            <w:pPr>
              <w:jc w:val="center"/>
              <w:rPr>
                <w:b/>
                <w:sz w:val="20"/>
              </w:rPr>
            </w:pPr>
            <w:r>
              <w:rPr>
                <w:b/>
                <w:sz w:val="20"/>
              </w:rPr>
              <w:t>15</w:t>
            </w:r>
          </w:p>
        </w:tc>
        <w:tc>
          <w:tcPr>
            <w:tcW w:w="1786" w:type="dxa"/>
            <w:shd w:val="clear" w:color="auto" w:fill="auto"/>
          </w:tcPr>
          <w:p w:rsidR="003A6D19" w:rsidRPr="00E10407" w:rsidRDefault="003A6D19" w:rsidP="00F929BE">
            <w:pPr>
              <w:jc w:val="center"/>
              <w:rPr>
                <w:b/>
                <w:sz w:val="20"/>
              </w:rPr>
            </w:pPr>
            <w:r>
              <w:rPr>
                <w:b/>
                <w:sz w:val="20"/>
              </w:rPr>
              <w:t>37</w:t>
            </w:r>
          </w:p>
        </w:tc>
        <w:tc>
          <w:tcPr>
            <w:tcW w:w="1786" w:type="dxa"/>
            <w:shd w:val="clear" w:color="auto" w:fill="auto"/>
          </w:tcPr>
          <w:p w:rsidR="003A6D19" w:rsidRPr="00E10407" w:rsidRDefault="003A6D19" w:rsidP="00F929BE">
            <w:pPr>
              <w:jc w:val="center"/>
              <w:rPr>
                <w:b/>
                <w:sz w:val="20"/>
              </w:rPr>
            </w:pPr>
            <w:r>
              <w:rPr>
                <w:b/>
                <w:sz w:val="20"/>
              </w:rPr>
              <w:t>52</w:t>
            </w:r>
          </w:p>
        </w:tc>
        <w:tc>
          <w:tcPr>
            <w:tcW w:w="1786" w:type="dxa"/>
            <w:shd w:val="clear" w:color="auto" w:fill="auto"/>
          </w:tcPr>
          <w:p w:rsidR="003A6D19" w:rsidRPr="00E10407" w:rsidRDefault="003A6D19" w:rsidP="00F929BE">
            <w:pPr>
              <w:jc w:val="center"/>
              <w:rPr>
                <w:b/>
                <w:sz w:val="20"/>
              </w:rPr>
            </w:pPr>
            <w:r>
              <w:rPr>
                <w:b/>
                <w:sz w:val="20"/>
              </w:rPr>
              <w:t>3</w:t>
            </w:r>
          </w:p>
        </w:tc>
        <w:tc>
          <w:tcPr>
            <w:tcW w:w="1645" w:type="dxa"/>
            <w:shd w:val="clear" w:color="auto" w:fill="auto"/>
          </w:tcPr>
          <w:p w:rsidR="003A6D19" w:rsidRPr="00E10407" w:rsidRDefault="003A6D19" w:rsidP="00F929BE">
            <w:pPr>
              <w:jc w:val="center"/>
              <w:rPr>
                <w:b/>
                <w:sz w:val="20"/>
              </w:rPr>
            </w:pPr>
            <w:r>
              <w:rPr>
                <w:b/>
                <w:sz w:val="20"/>
              </w:rPr>
              <w:t>1</w:t>
            </w:r>
          </w:p>
        </w:tc>
      </w:tr>
    </w:tbl>
    <w:p w:rsidR="003A6D19" w:rsidRPr="00E10407" w:rsidRDefault="003A6D19" w:rsidP="003A6D19">
      <w:pPr>
        <w:ind w:firstLine="567"/>
        <w:rPr>
          <w:i/>
          <w:sz w:val="20"/>
        </w:rPr>
      </w:pPr>
      <w:r w:rsidRPr="00E10407">
        <w:rPr>
          <w:b/>
          <w:i/>
          <w:sz w:val="20"/>
        </w:rPr>
        <w:t>High Priority</w:t>
      </w:r>
      <w:r w:rsidRPr="00E10407">
        <w:rPr>
          <w:i/>
          <w:sz w:val="20"/>
        </w:rPr>
        <w:t xml:space="preserve"> - Complaints relating to loss of amenity/recurring breach of planning control</w:t>
      </w:r>
    </w:p>
    <w:p w:rsidR="003A6D19" w:rsidRPr="00E10407" w:rsidRDefault="003A6D19" w:rsidP="003A6D19">
      <w:pPr>
        <w:ind w:left="567"/>
        <w:rPr>
          <w:i/>
          <w:sz w:val="20"/>
        </w:rPr>
      </w:pPr>
      <w:r w:rsidRPr="00E10407">
        <w:rPr>
          <w:b/>
          <w:i/>
          <w:sz w:val="20"/>
        </w:rPr>
        <w:t>Lower Priority</w:t>
      </w:r>
      <w:r w:rsidRPr="00E10407">
        <w:rPr>
          <w:i/>
          <w:sz w:val="20"/>
        </w:rPr>
        <w:t xml:space="preserve"> - Complaints relating to minor developments or domestic disputes relating to fences, sheds and extensions.  </w:t>
      </w:r>
    </w:p>
    <w:p w:rsidR="003A6D19" w:rsidRDefault="003A6D19" w:rsidP="003A6D19">
      <w:pPr>
        <w:rPr>
          <w:u w:val="single"/>
        </w:rPr>
      </w:pPr>
    </w:p>
    <w:p w:rsidR="003A6D19" w:rsidRPr="00E10407" w:rsidRDefault="003A6D19" w:rsidP="003A6D19">
      <w:pPr>
        <w:ind w:left="567" w:hanging="567"/>
      </w:pPr>
      <w:r>
        <w:t>5.9</w:t>
      </w:r>
      <w:r>
        <w:tab/>
      </w:r>
      <w:r w:rsidRPr="00E10407">
        <w:t xml:space="preserve">In terms of the spread of enforcement cases the largest area of investigation is with regard to </w:t>
      </w:r>
      <w:r>
        <w:t>untidy land</w:t>
      </w:r>
      <w:r w:rsidRPr="00E10407">
        <w:t>. Because of the amount of evidence required for such investigations such as historical records these do take up significant time.</w:t>
      </w:r>
      <w:r>
        <w:t xml:space="preserve"> This is followed by the monitoring of development sites, (house builders), for reported breaches of conditions, these complaints are persistent and take a</w:t>
      </w:r>
      <w:r w:rsidR="001674E1">
        <w:t xml:space="preserve"> lot of time following up. One case has been appealed after the service of a Planning Enforcement Notice, a hearing is scheduled for August 2018.</w:t>
      </w:r>
    </w:p>
    <w:p w:rsidR="003A6D19" w:rsidRDefault="003A6D19" w:rsidP="003A6D19">
      <w:pPr>
        <w:rPr>
          <w:u w:val="single"/>
        </w:rPr>
      </w:pPr>
    </w:p>
    <w:p w:rsidR="003A6D19" w:rsidRPr="00E10407" w:rsidRDefault="003A6D19" w:rsidP="003A6D19">
      <w:pPr>
        <w:ind w:firstLine="567"/>
        <w:rPr>
          <w:b/>
          <w:sz w:val="20"/>
        </w:rPr>
      </w:pPr>
      <w:r w:rsidRPr="00E10407">
        <w:rPr>
          <w:b/>
          <w:sz w:val="20"/>
        </w:rPr>
        <w:t>Table 7 Breakdown of Enforcement Cases</w:t>
      </w:r>
    </w:p>
    <w:tbl>
      <w:tblPr>
        <w:tblStyle w:val="TableGrid"/>
        <w:tblW w:w="8789" w:type="dxa"/>
        <w:tblInd w:w="562" w:type="dxa"/>
        <w:tblLook w:val="04A0" w:firstRow="1" w:lastRow="0" w:firstColumn="1" w:lastColumn="0" w:noHBand="0" w:noVBand="1"/>
      </w:tblPr>
      <w:tblGrid>
        <w:gridCol w:w="6237"/>
        <w:gridCol w:w="2552"/>
      </w:tblGrid>
      <w:tr w:rsidR="003A6D19" w:rsidTr="003A6D19">
        <w:tc>
          <w:tcPr>
            <w:tcW w:w="6237" w:type="dxa"/>
            <w:shd w:val="clear" w:color="auto" w:fill="D9D9D9" w:themeFill="background1" w:themeFillShade="D9"/>
          </w:tcPr>
          <w:p w:rsidR="003A6D19" w:rsidRPr="00E10407" w:rsidRDefault="003A6D19" w:rsidP="00F929BE">
            <w:pPr>
              <w:jc w:val="center"/>
              <w:rPr>
                <w:b/>
                <w:sz w:val="20"/>
              </w:rPr>
            </w:pPr>
            <w:r w:rsidRPr="00E10407">
              <w:rPr>
                <w:b/>
                <w:sz w:val="20"/>
              </w:rPr>
              <w:t>Breaches of Planning Control</w:t>
            </w:r>
          </w:p>
        </w:tc>
        <w:tc>
          <w:tcPr>
            <w:tcW w:w="2552" w:type="dxa"/>
            <w:shd w:val="clear" w:color="auto" w:fill="D9D9D9" w:themeFill="background1" w:themeFillShade="D9"/>
          </w:tcPr>
          <w:p w:rsidR="003A6D19" w:rsidRPr="00E10407" w:rsidRDefault="003A6D19" w:rsidP="00F929BE">
            <w:pPr>
              <w:jc w:val="center"/>
              <w:rPr>
                <w:b/>
                <w:sz w:val="20"/>
              </w:rPr>
            </w:pPr>
            <w:r w:rsidRPr="00E10407">
              <w:rPr>
                <w:b/>
                <w:sz w:val="20"/>
              </w:rPr>
              <w:t>Total</w:t>
            </w:r>
          </w:p>
        </w:tc>
      </w:tr>
      <w:tr w:rsidR="003A6D19" w:rsidTr="003A6D19">
        <w:tc>
          <w:tcPr>
            <w:tcW w:w="6237" w:type="dxa"/>
          </w:tcPr>
          <w:p w:rsidR="003A6D19" w:rsidRPr="00E10407" w:rsidRDefault="003A6D19" w:rsidP="00F929BE">
            <w:pPr>
              <w:rPr>
                <w:b/>
                <w:sz w:val="20"/>
              </w:rPr>
            </w:pPr>
            <w:r w:rsidRPr="00E10407">
              <w:rPr>
                <w:b/>
                <w:sz w:val="20"/>
              </w:rPr>
              <w:t>Change of Use of Land/Building</w:t>
            </w:r>
            <w:r>
              <w:rPr>
                <w:b/>
                <w:sz w:val="20"/>
              </w:rPr>
              <w:t>/Business from Home</w:t>
            </w:r>
          </w:p>
        </w:tc>
        <w:tc>
          <w:tcPr>
            <w:tcW w:w="2552" w:type="dxa"/>
            <w:shd w:val="clear" w:color="auto" w:fill="auto"/>
          </w:tcPr>
          <w:p w:rsidR="003A6D19" w:rsidRPr="00E10407" w:rsidRDefault="003A6D19" w:rsidP="00F929BE">
            <w:pPr>
              <w:jc w:val="center"/>
              <w:rPr>
                <w:b/>
                <w:sz w:val="20"/>
              </w:rPr>
            </w:pPr>
            <w:r>
              <w:rPr>
                <w:b/>
                <w:sz w:val="20"/>
              </w:rPr>
              <w:t>5</w:t>
            </w:r>
          </w:p>
        </w:tc>
      </w:tr>
      <w:tr w:rsidR="003A6D19" w:rsidTr="003A6D19">
        <w:tc>
          <w:tcPr>
            <w:tcW w:w="6237" w:type="dxa"/>
          </w:tcPr>
          <w:p w:rsidR="003A6D19" w:rsidRPr="00E10407" w:rsidRDefault="003A6D19" w:rsidP="00F929BE">
            <w:pPr>
              <w:rPr>
                <w:b/>
                <w:sz w:val="20"/>
              </w:rPr>
            </w:pPr>
            <w:r w:rsidRPr="00E10407">
              <w:rPr>
                <w:b/>
                <w:sz w:val="20"/>
              </w:rPr>
              <w:t>S.215 Untidy Land/House</w:t>
            </w:r>
          </w:p>
        </w:tc>
        <w:tc>
          <w:tcPr>
            <w:tcW w:w="2552" w:type="dxa"/>
            <w:shd w:val="clear" w:color="auto" w:fill="auto"/>
          </w:tcPr>
          <w:p w:rsidR="003A6D19" w:rsidRPr="00E10407" w:rsidRDefault="003A6D19" w:rsidP="00F929BE">
            <w:pPr>
              <w:jc w:val="center"/>
              <w:rPr>
                <w:b/>
                <w:sz w:val="20"/>
              </w:rPr>
            </w:pPr>
            <w:r>
              <w:rPr>
                <w:b/>
                <w:sz w:val="20"/>
              </w:rPr>
              <w:t>7</w:t>
            </w:r>
          </w:p>
        </w:tc>
      </w:tr>
      <w:tr w:rsidR="003A6D19" w:rsidTr="003A6D19">
        <w:tc>
          <w:tcPr>
            <w:tcW w:w="6237" w:type="dxa"/>
          </w:tcPr>
          <w:p w:rsidR="003A6D19" w:rsidRPr="00E10407" w:rsidRDefault="003A6D19" w:rsidP="00F929BE">
            <w:pPr>
              <w:rPr>
                <w:b/>
                <w:sz w:val="20"/>
              </w:rPr>
            </w:pPr>
            <w:r w:rsidRPr="00E10407">
              <w:rPr>
                <w:b/>
                <w:sz w:val="20"/>
              </w:rPr>
              <w:t>High Hedge</w:t>
            </w:r>
          </w:p>
        </w:tc>
        <w:tc>
          <w:tcPr>
            <w:tcW w:w="2552" w:type="dxa"/>
            <w:shd w:val="clear" w:color="auto" w:fill="auto"/>
          </w:tcPr>
          <w:p w:rsidR="003A6D19" w:rsidRPr="00E10407" w:rsidRDefault="003A6D19" w:rsidP="00F929BE">
            <w:pPr>
              <w:jc w:val="center"/>
              <w:rPr>
                <w:b/>
                <w:sz w:val="20"/>
              </w:rPr>
            </w:pPr>
            <w:r>
              <w:rPr>
                <w:b/>
                <w:sz w:val="20"/>
              </w:rPr>
              <w:t>4</w:t>
            </w:r>
          </w:p>
        </w:tc>
      </w:tr>
      <w:tr w:rsidR="003A6D19" w:rsidTr="003A6D19">
        <w:tc>
          <w:tcPr>
            <w:tcW w:w="6237" w:type="dxa"/>
          </w:tcPr>
          <w:p w:rsidR="003A6D19" w:rsidRPr="00E10407" w:rsidRDefault="003A6D19" w:rsidP="00F929BE">
            <w:pPr>
              <w:rPr>
                <w:b/>
                <w:sz w:val="20"/>
              </w:rPr>
            </w:pPr>
            <w:r>
              <w:rPr>
                <w:b/>
                <w:sz w:val="20"/>
              </w:rPr>
              <w:t xml:space="preserve">Development Site Monitoring for Reported </w:t>
            </w:r>
            <w:r w:rsidRPr="00E10407">
              <w:rPr>
                <w:b/>
                <w:sz w:val="20"/>
              </w:rPr>
              <w:t>Breach</w:t>
            </w:r>
            <w:r>
              <w:rPr>
                <w:b/>
                <w:sz w:val="20"/>
              </w:rPr>
              <w:t>es</w:t>
            </w:r>
            <w:r w:rsidRPr="00E10407">
              <w:rPr>
                <w:b/>
                <w:sz w:val="20"/>
              </w:rPr>
              <w:t xml:space="preserve"> of Condition</w:t>
            </w:r>
          </w:p>
        </w:tc>
        <w:tc>
          <w:tcPr>
            <w:tcW w:w="2552" w:type="dxa"/>
            <w:shd w:val="clear" w:color="auto" w:fill="auto"/>
          </w:tcPr>
          <w:p w:rsidR="003A6D19" w:rsidRPr="00E10407" w:rsidRDefault="003A6D19" w:rsidP="00F929BE">
            <w:pPr>
              <w:jc w:val="center"/>
              <w:rPr>
                <w:b/>
                <w:sz w:val="20"/>
              </w:rPr>
            </w:pPr>
            <w:r>
              <w:rPr>
                <w:b/>
                <w:sz w:val="20"/>
              </w:rPr>
              <w:t>12</w:t>
            </w:r>
          </w:p>
        </w:tc>
      </w:tr>
      <w:tr w:rsidR="003A6D19" w:rsidTr="003A6D19">
        <w:tc>
          <w:tcPr>
            <w:tcW w:w="6237" w:type="dxa"/>
          </w:tcPr>
          <w:p w:rsidR="003A6D19" w:rsidRPr="00E10407" w:rsidRDefault="003A6D19" w:rsidP="00F929BE">
            <w:pPr>
              <w:rPr>
                <w:b/>
                <w:sz w:val="20"/>
              </w:rPr>
            </w:pPr>
            <w:r>
              <w:rPr>
                <w:b/>
                <w:sz w:val="20"/>
              </w:rPr>
              <w:t xml:space="preserve">Advertisement </w:t>
            </w:r>
            <w:proofErr w:type="spellStart"/>
            <w:r>
              <w:rPr>
                <w:b/>
                <w:sz w:val="20"/>
              </w:rPr>
              <w:t>Regs</w:t>
            </w:r>
            <w:proofErr w:type="spellEnd"/>
            <w:r>
              <w:rPr>
                <w:b/>
                <w:sz w:val="20"/>
              </w:rPr>
              <w:t>.</w:t>
            </w:r>
          </w:p>
        </w:tc>
        <w:tc>
          <w:tcPr>
            <w:tcW w:w="2552" w:type="dxa"/>
            <w:shd w:val="clear" w:color="auto" w:fill="auto"/>
          </w:tcPr>
          <w:p w:rsidR="003A6D19" w:rsidRPr="00E10407" w:rsidRDefault="003A6D19" w:rsidP="00F929BE">
            <w:pPr>
              <w:jc w:val="center"/>
              <w:rPr>
                <w:b/>
                <w:sz w:val="20"/>
              </w:rPr>
            </w:pPr>
            <w:r>
              <w:rPr>
                <w:b/>
                <w:sz w:val="20"/>
              </w:rPr>
              <w:t>7</w:t>
            </w:r>
          </w:p>
        </w:tc>
      </w:tr>
      <w:tr w:rsidR="003A6D19" w:rsidTr="003A6D19">
        <w:tc>
          <w:tcPr>
            <w:tcW w:w="6237" w:type="dxa"/>
          </w:tcPr>
          <w:p w:rsidR="003A6D19" w:rsidRPr="00E10407" w:rsidRDefault="003A6D19" w:rsidP="00F929BE">
            <w:pPr>
              <w:rPr>
                <w:b/>
                <w:sz w:val="20"/>
              </w:rPr>
            </w:pPr>
            <w:r>
              <w:rPr>
                <w:b/>
                <w:sz w:val="20"/>
              </w:rPr>
              <w:t>PD or Requires PP</w:t>
            </w:r>
          </w:p>
        </w:tc>
        <w:tc>
          <w:tcPr>
            <w:tcW w:w="2552" w:type="dxa"/>
            <w:shd w:val="clear" w:color="auto" w:fill="auto"/>
          </w:tcPr>
          <w:p w:rsidR="003A6D19" w:rsidRPr="00E10407" w:rsidRDefault="003A6D19" w:rsidP="00F929BE">
            <w:pPr>
              <w:jc w:val="center"/>
              <w:rPr>
                <w:b/>
                <w:sz w:val="20"/>
              </w:rPr>
            </w:pPr>
            <w:r>
              <w:rPr>
                <w:b/>
                <w:sz w:val="20"/>
              </w:rPr>
              <w:t>17</w:t>
            </w:r>
          </w:p>
        </w:tc>
      </w:tr>
    </w:tbl>
    <w:p w:rsidR="00A1647E" w:rsidRPr="00E8141B" w:rsidRDefault="00A1647E" w:rsidP="00A1647E">
      <w:pPr>
        <w:rPr>
          <w:highlight w:val="yellow"/>
          <w:u w:val="single"/>
        </w:rPr>
      </w:pPr>
    </w:p>
    <w:p w:rsidR="00A1647E" w:rsidRPr="005A6103" w:rsidRDefault="003A6D19" w:rsidP="003A6D19">
      <w:pPr>
        <w:ind w:left="567" w:hanging="567"/>
      </w:pPr>
      <w:r>
        <w:t>5.10</w:t>
      </w:r>
      <w:r>
        <w:tab/>
      </w:r>
      <w:r w:rsidR="00A1647E" w:rsidRPr="00E8141B">
        <w:t>Given the high volume of work an additional Enforcement Officer role has been recruited and commenced work in January 2018.</w:t>
      </w:r>
    </w:p>
    <w:p w:rsidR="00A1647E" w:rsidRDefault="00A1647E" w:rsidP="00A1647E">
      <w:pPr>
        <w:rPr>
          <w:u w:val="single"/>
        </w:rPr>
      </w:pPr>
    </w:p>
    <w:p w:rsidR="00A1647E" w:rsidRPr="009B1B4D" w:rsidRDefault="00A1647E" w:rsidP="009B1B4D">
      <w:pPr>
        <w:ind w:firstLine="567"/>
        <w:rPr>
          <w:b/>
          <w:i/>
        </w:rPr>
      </w:pPr>
      <w:r w:rsidRPr="009B1B4D">
        <w:rPr>
          <w:b/>
          <w:i/>
        </w:rPr>
        <w:t>Conclusion</w:t>
      </w:r>
    </w:p>
    <w:p w:rsidR="00A1647E" w:rsidRDefault="00A1647E" w:rsidP="00A1647E"/>
    <w:p w:rsidR="00A1647E" w:rsidRPr="004F4613" w:rsidRDefault="009B1B4D" w:rsidP="009B1B4D">
      <w:pPr>
        <w:ind w:left="567" w:hanging="567"/>
      </w:pPr>
      <w:r>
        <w:t>5.11</w:t>
      </w:r>
      <w:r>
        <w:tab/>
      </w:r>
      <w:r w:rsidR="00A1647E">
        <w:t>Overall performance in the Planning department continues to be very high and places South Ribble as one of the top performing authorities in the Country. That said the department continues to be under pressure from both the sheer number of applications and the complexity of some of the schemes before us such as Cuerden and Test Track. To ensure we still provide an excellent service additional resource has been identified in the new budget and will shortly be secured.</w:t>
      </w:r>
    </w:p>
    <w:p w:rsidR="002F5C5E" w:rsidRPr="00792A2B" w:rsidRDefault="002F5C5E" w:rsidP="002F5C5E">
      <w:pPr>
        <w:rPr>
          <w:b/>
          <w:szCs w:val="22"/>
        </w:rPr>
      </w:pPr>
    </w:p>
    <w:p w:rsidR="001938D6" w:rsidRPr="00792A2B" w:rsidRDefault="00C41065" w:rsidP="00520F8A">
      <w:pPr>
        <w:ind w:left="567" w:hanging="567"/>
        <w:rPr>
          <w:b/>
          <w:szCs w:val="22"/>
        </w:rPr>
      </w:pPr>
      <w:r>
        <w:rPr>
          <w:b/>
          <w:szCs w:val="22"/>
        </w:rPr>
        <w:t>6</w:t>
      </w:r>
      <w:r w:rsidR="002F5C5E" w:rsidRPr="00792A2B">
        <w:rPr>
          <w:b/>
          <w:szCs w:val="22"/>
        </w:rPr>
        <w:t xml:space="preserve">.   </w:t>
      </w:r>
      <w:r w:rsidR="00520F8A">
        <w:rPr>
          <w:b/>
          <w:szCs w:val="22"/>
        </w:rPr>
        <w:tab/>
      </w:r>
      <w:r w:rsidR="001938D6" w:rsidRPr="00792A2B">
        <w:rPr>
          <w:b/>
          <w:szCs w:val="22"/>
        </w:rPr>
        <w:t xml:space="preserve">CONSULTATION CARRIED OUT AND OUTCOME OF CONSULTATION </w:t>
      </w:r>
    </w:p>
    <w:p w:rsidR="001938D6" w:rsidRPr="00792A2B" w:rsidRDefault="001938D6" w:rsidP="002F5C5E">
      <w:pPr>
        <w:rPr>
          <w:b/>
          <w:szCs w:val="22"/>
        </w:rPr>
      </w:pPr>
    </w:p>
    <w:p w:rsidR="001938D6" w:rsidRPr="00520F8A" w:rsidRDefault="00520F8A" w:rsidP="00520F8A">
      <w:pPr>
        <w:ind w:left="567" w:hanging="567"/>
        <w:rPr>
          <w:rFonts w:cs="Arial"/>
          <w:color w:val="000000" w:themeColor="text1"/>
        </w:rPr>
      </w:pPr>
      <w:r>
        <w:rPr>
          <w:color w:val="000000" w:themeColor="text1"/>
          <w:szCs w:val="22"/>
        </w:rPr>
        <w:t>6</w:t>
      </w:r>
      <w:r w:rsidR="001938D6" w:rsidRPr="00520F8A">
        <w:rPr>
          <w:color w:val="000000" w:themeColor="text1"/>
          <w:szCs w:val="22"/>
        </w:rPr>
        <w:t>.1</w:t>
      </w:r>
      <w:r w:rsidR="00F43895" w:rsidRPr="00520F8A">
        <w:rPr>
          <w:color w:val="000000" w:themeColor="text1"/>
          <w:szCs w:val="22"/>
        </w:rPr>
        <w:t xml:space="preserve">   </w:t>
      </w:r>
      <w:r>
        <w:rPr>
          <w:color w:val="000000" w:themeColor="text1"/>
          <w:szCs w:val="22"/>
        </w:rPr>
        <w:tab/>
      </w:r>
      <w:r w:rsidRPr="00520F8A">
        <w:rPr>
          <w:rFonts w:cs="Arial"/>
          <w:color w:val="000000" w:themeColor="text1"/>
        </w:rPr>
        <w:t xml:space="preserve">All planning applications and key planning policy documents involve </w:t>
      </w:r>
      <w:proofErr w:type="spellStart"/>
      <w:r w:rsidRPr="00520F8A">
        <w:rPr>
          <w:rFonts w:cs="Arial"/>
          <w:color w:val="000000" w:themeColor="text1"/>
        </w:rPr>
        <w:t>widescale</w:t>
      </w:r>
      <w:proofErr w:type="spellEnd"/>
      <w:r w:rsidRPr="00520F8A">
        <w:rPr>
          <w:rFonts w:cs="Arial"/>
          <w:color w:val="000000" w:themeColor="text1"/>
        </w:rPr>
        <w:t xml:space="preserve"> Member, Public and Stakeholder consultations in accordance with the adopted Statement of Community Involvement. </w:t>
      </w:r>
    </w:p>
    <w:p w:rsidR="00F43895" w:rsidRPr="00792A2B" w:rsidRDefault="00F43895" w:rsidP="002F5C5E">
      <w:pPr>
        <w:rPr>
          <w:rFonts w:cs="Arial"/>
          <w:i/>
          <w:color w:val="2E74B5"/>
        </w:rPr>
      </w:pPr>
    </w:p>
    <w:p w:rsidR="00F43895" w:rsidRPr="00792A2B" w:rsidRDefault="00C41065" w:rsidP="00AB6079">
      <w:pPr>
        <w:ind w:left="567" w:hanging="567"/>
        <w:rPr>
          <w:b/>
          <w:szCs w:val="22"/>
        </w:rPr>
      </w:pPr>
      <w:r>
        <w:rPr>
          <w:b/>
          <w:szCs w:val="22"/>
        </w:rPr>
        <w:t>7</w:t>
      </w:r>
      <w:r w:rsidR="00F43895" w:rsidRPr="00792A2B">
        <w:rPr>
          <w:b/>
          <w:szCs w:val="22"/>
        </w:rPr>
        <w:t xml:space="preserve">.    </w:t>
      </w:r>
      <w:r w:rsidR="00AB6079">
        <w:rPr>
          <w:b/>
          <w:szCs w:val="22"/>
        </w:rPr>
        <w:tab/>
      </w:r>
      <w:r w:rsidR="00F43895" w:rsidRPr="00792A2B">
        <w:rPr>
          <w:rFonts w:cs="Arial"/>
          <w:b/>
          <w:caps/>
        </w:rPr>
        <w:t>Financial implications</w:t>
      </w:r>
    </w:p>
    <w:p w:rsidR="00F43895" w:rsidRPr="00AB6079" w:rsidRDefault="00F43895" w:rsidP="00F43895">
      <w:pPr>
        <w:ind w:left="567"/>
        <w:rPr>
          <w:rFonts w:cs="Arial"/>
          <w:b/>
          <w:caps/>
          <w:color w:val="000000" w:themeColor="text1"/>
        </w:rPr>
      </w:pPr>
    </w:p>
    <w:p w:rsidR="00F43895" w:rsidRPr="00714582" w:rsidRDefault="00714582" w:rsidP="00714582">
      <w:pPr>
        <w:ind w:left="567" w:hanging="567"/>
        <w:rPr>
          <w:rFonts w:cs="Arial"/>
          <w:caps/>
          <w:color w:val="000000" w:themeColor="text1"/>
        </w:rPr>
      </w:pPr>
      <w:r>
        <w:rPr>
          <w:rFonts w:cs="Arial"/>
          <w:color w:val="000000" w:themeColor="text1"/>
        </w:rPr>
        <w:t>7.1</w:t>
      </w:r>
      <w:r>
        <w:rPr>
          <w:rFonts w:cs="Arial"/>
          <w:color w:val="000000" w:themeColor="text1"/>
        </w:rPr>
        <w:tab/>
      </w:r>
      <w:r w:rsidRPr="00714582">
        <w:rPr>
          <w:rFonts w:cs="Arial"/>
          <w:color w:val="000000" w:themeColor="text1"/>
        </w:rPr>
        <w:t>There are no financial implications resulting from this report.</w:t>
      </w:r>
    </w:p>
    <w:p w:rsidR="00F43895" w:rsidRPr="00AB6079" w:rsidRDefault="00F43895" w:rsidP="00F43895">
      <w:pPr>
        <w:rPr>
          <w:rFonts w:cs="Arial"/>
          <w:b/>
          <w:color w:val="000000" w:themeColor="text1"/>
        </w:rPr>
      </w:pPr>
    </w:p>
    <w:p w:rsidR="00F43895" w:rsidRPr="00AB6079" w:rsidRDefault="00C41065" w:rsidP="00AB6079">
      <w:pPr>
        <w:ind w:left="567" w:hanging="567"/>
        <w:rPr>
          <w:rFonts w:cs="Arial"/>
          <w:b/>
          <w:caps/>
          <w:color w:val="000000" w:themeColor="text1"/>
        </w:rPr>
      </w:pPr>
      <w:r w:rsidRPr="00AB6079">
        <w:rPr>
          <w:rFonts w:cs="Arial"/>
          <w:b/>
          <w:caps/>
          <w:color w:val="000000" w:themeColor="text1"/>
        </w:rPr>
        <w:t>8</w:t>
      </w:r>
      <w:r w:rsidR="00F43895" w:rsidRPr="00AB6079">
        <w:rPr>
          <w:rFonts w:cs="Arial"/>
          <w:b/>
          <w:caps/>
          <w:color w:val="000000" w:themeColor="text1"/>
        </w:rPr>
        <w:t xml:space="preserve">.   </w:t>
      </w:r>
      <w:r w:rsidR="00AB6079">
        <w:rPr>
          <w:rFonts w:cs="Arial"/>
          <w:b/>
          <w:caps/>
          <w:color w:val="000000" w:themeColor="text1"/>
        </w:rPr>
        <w:tab/>
      </w:r>
      <w:r w:rsidR="00F43895" w:rsidRPr="00AB6079">
        <w:rPr>
          <w:rFonts w:cs="Arial"/>
          <w:b/>
          <w:caps/>
          <w:color w:val="000000" w:themeColor="text1"/>
        </w:rPr>
        <w:t>LEGAL IMPLICATIONS</w:t>
      </w:r>
    </w:p>
    <w:p w:rsidR="00F43895" w:rsidRPr="00AB6079" w:rsidRDefault="00F43895" w:rsidP="00AB6079">
      <w:pPr>
        <w:ind w:left="567" w:hanging="567"/>
        <w:rPr>
          <w:rFonts w:cs="Arial"/>
          <w:caps/>
          <w:color w:val="000000" w:themeColor="text1"/>
        </w:rPr>
      </w:pPr>
    </w:p>
    <w:p w:rsidR="00AB6079" w:rsidRPr="00AB6079" w:rsidRDefault="00AB6079" w:rsidP="00AB6079">
      <w:pPr>
        <w:pStyle w:val="ListParagraph"/>
        <w:ind w:left="567" w:hanging="567"/>
        <w:rPr>
          <w:rFonts w:ascii="Arial" w:hAnsi="Arial" w:cs="Arial"/>
          <w:caps/>
          <w:color w:val="000000" w:themeColor="text1"/>
        </w:rPr>
      </w:pPr>
      <w:r>
        <w:rPr>
          <w:rFonts w:ascii="Arial" w:hAnsi="Arial" w:cs="Arial"/>
          <w:color w:val="000000" w:themeColor="text1"/>
        </w:rPr>
        <w:t>8.1</w:t>
      </w:r>
      <w:r>
        <w:rPr>
          <w:rFonts w:ascii="Arial" w:hAnsi="Arial" w:cs="Arial"/>
          <w:color w:val="000000" w:themeColor="text1"/>
        </w:rPr>
        <w:tab/>
      </w:r>
      <w:r w:rsidRPr="00AB6079">
        <w:rPr>
          <w:rFonts w:ascii="Arial" w:hAnsi="Arial" w:cs="Arial"/>
          <w:color w:val="000000" w:themeColor="text1"/>
        </w:rPr>
        <w:t xml:space="preserve">The Council are required to comply with statutory deadlines in respect of determining planning applications.  The details in respect of the performance of the planning department is provided to Department of Communities and Local Government (DCLG), which publishes a league table of results for all planning authorities.  This is to enable Council’s to improve services and provide </w:t>
      </w:r>
      <w:r>
        <w:rPr>
          <w:rFonts w:ascii="Arial" w:hAnsi="Arial" w:cs="Arial"/>
          <w:color w:val="000000" w:themeColor="text1"/>
        </w:rPr>
        <w:t>certainty to local residents.</w:t>
      </w:r>
    </w:p>
    <w:p w:rsidR="00AB6079" w:rsidRPr="00AB6079" w:rsidRDefault="00AB6079" w:rsidP="00AB6079">
      <w:pPr>
        <w:pStyle w:val="ListParagraph"/>
        <w:ind w:left="567"/>
        <w:rPr>
          <w:rFonts w:ascii="Arial" w:hAnsi="Arial" w:cs="Arial"/>
          <w:caps/>
          <w:color w:val="000000" w:themeColor="text1"/>
        </w:rPr>
      </w:pPr>
    </w:p>
    <w:p w:rsidR="00AB6079" w:rsidRPr="00AB6079" w:rsidRDefault="00AB6079" w:rsidP="003240AF">
      <w:pPr>
        <w:pStyle w:val="ListParagraph"/>
        <w:ind w:left="567" w:hanging="567"/>
        <w:rPr>
          <w:rFonts w:ascii="Arial" w:hAnsi="Arial" w:cs="Arial"/>
          <w:caps/>
          <w:color w:val="000000" w:themeColor="text1"/>
        </w:rPr>
      </w:pPr>
      <w:r>
        <w:rPr>
          <w:rFonts w:ascii="Arial" w:hAnsi="Arial" w:cs="Arial"/>
          <w:color w:val="000000" w:themeColor="text1"/>
        </w:rPr>
        <w:t>8.2</w:t>
      </w:r>
      <w:r>
        <w:rPr>
          <w:rFonts w:ascii="Arial" w:hAnsi="Arial" w:cs="Arial"/>
          <w:color w:val="000000" w:themeColor="text1"/>
        </w:rPr>
        <w:tab/>
      </w:r>
      <w:r w:rsidRPr="00AB6079">
        <w:rPr>
          <w:rFonts w:ascii="Arial" w:hAnsi="Arial" w:cs="Arial"/>
          <w:color w:val="000000" w:themeColor="text1"/>
        </w:rPr>
        <w:t>The Council are also required to ensure that all planning applications are determined in accordance with the Town and Country Planning Act 1990, as amended</w:t>
      </w:r>
    </w:p>
    <w:p w:rsidR="00F43895" w:rsidRPr="00AB6079" w:rsidRDefault="00C41065" w:rsidP="00AB6079">
      <w:pPr>
        <w:ind w:left="567" w:hanging="567"/>
        <w:rPr>
          <w:rFonts w:cs="Arial"/>
          <w:b/>
          <w:color w:val="000000" w:themeColor="text1"/>
        </w:rPr>
      </w:pPr>
      <w:r w:rsidRPr="00AB6079">
        <w:rPr>
          <w:rFonts w:cs="Arial"/>
          <w:b/>
          <w:color w:val="000000" w:themeColor="text1"/>
        </w:rPr>
        <w:t>9</w:t>
      </w:r>
      <w:r w:rsidR="00F43895" w:rsidRPr="00AB6079">
        <w:rPr>
          <w:rFonts w:cs="Arial"/>
          <w:b/>
          <w:color w:val="000000" w:themeColor="text1"/>
        </w:rPr>
        <w:t xml:space="preserve">.  </w:t>
      </w:r>
      <w:r w:rsidR="00AB6079">
        <w:rPr>
          <w:rFonts w:cs="Arial"/>
          <w:b/>
          <w:color w:val="000000" w:themeColor="text1"/>
        </w:rPr>
        <w:tab/>
      </w:r>
      <w:r w:rsidR="00F43895" w:rsidRPr="00AB6079">
        <w:rPr>
          <w:rFonts w:cs="Arial"/>
          <w:b/>
          <w:color w:val="000000" w:themeColor="text1"/>
        </w:rPr>
        <w:t>COMMENTS OF THE STATUTORY FINANCE OFFICER</w:t>
      </w:r>
    </w:p>
    <w:p w:rsidR="00BE2A3F" w:rsidRPr="00AB6079" w:rsidRDefault="00BE2A3F" w:rsidP="00F43895">
      <w:pPr>
        <w:rPr>
          <w:rFonts w:cs="Arial"/>
          <w:b/>
          <w:color w:val="000000" w:themeColor="text1"/>
        </w:rPr>
      </w:pPr>
    </w:p>
    <w:p w:rsidR="00C3456F" w:rsidRPr="00714582" w:rsidRDefault="00C3456F" w:rsidP="00C3456F">
      <w:pPr>
        <w:ind w:left="567" w:hanging="567"/>
        <w:rPr>
          <w:rFonts w:cs="Arial"/>
          <w:caps/>
          <w:color w:val="000000" w:themeColor="text1"/>
        </w:rPr>
      </w:pPr>
      <w:r>
        <w:rPr>
          <w:rFonts w:cs="Arial"/>
          <w:color w:val="000000" w:themeColor="text1"/>
        </w:rPr>
        <w:t>9.1</w:t>
      </w:r>
      <w:r>
        <w:rPr>
          <w:rFonts w:cs="Arial"/>
          <w:color w:val="000000" w:themeColor="text1"/>
        </w:rPr>
        <w:tab/>
      </w:r>
      <w:r w:rsidRPr="00714582">
        <w:rPr>
          <w:rFonts w:cs="Arial"/>
          <w:color w:val="000000" w:themeColor="text1"/>
        </w:rPr>
        <w:t>There are no financial implications resulting from this report.</w:t>
      </w:r>
    </w:p>
    <w:p w:rsidR="00F43895" w:rsidRPr="00AB6079" w:rsidRDefault="00F43895" w:rsidP="00F43895">
      <w:pPr>
        <w:rPr>
          <w:rFonts w:cs="Arial"/>
          <w:b/>
          <w:i/>
          <w:color w:val="000000" w:themeColor="text1"/>
        </w:rPr>
      </w:pPr>
    </w:p>
    <w:p w:rsidR="00F43895" w:rsidRPr="00AB6079" w:rsidRDefault="00C41065" w:rsidP="00AB6079">
      <w:pPr>
        <w:ind w:left="567" w:hanging="567"/>
        <w:rPr>
          <w:rFonts w:cs="Arial"/>
          <w:b/>
          <w:color w:val="000000" w:themeColor="text1"/>
        </w:rPr>
      </w:pPr>
      <w:r w:rsidRPr="00AB6079">
        <w:rPr>
          <w:rFonts w:cs="Arial"/>
          <w:b/>
          <w:color w:val="000000" w:themeColor="text1"/>
        </w:rPr>
        <w:t>10</w:t>
      </w:r>
      <w:r w:rsidR="00BE2A3F" w:rsidRPr="00AB6079">
        <w:rPr>
          <w:rFonts w:cs="Arial"/>
          <w:b/>
          <w:color w:val="000000" w:themeColor="text1"/>
        </w:rPr>
        <w:t xml:space="preserve">.  </w:t>
      </w:r>
      <w:r w:rsidR="00AB6079">
        <w:rPr>
          <w:rFonts w:cs="Arial"/>
          <w:b/>
          <w:color w:val="000000" w:themeColor="text1"/>
        </w:rPr>
        <w:tab/>
      </w:r>
      <w:r w:rsidR="00F43895" w:rsidRPr="00AB6079">
        <w:rPr>
          <w:rFonts w:cs="Arial"/>
          <w:b/>
          <w:color w:val="000000" w:themeColor="text1"/>
        </w:rPr>
        <w:t>COMMENTS OF THE MONITORING OFFICER</w:t>
      </w:r>
    </w:p>
    <w:p w:rsidR="00F43895" w:rsidRPr="00AB6079" w:rsidRDefault="00F43895" w:rsidP="00F43895">
      <w:pPr>
        <w:ind w:left="567"/>
        <w:rPr>
          <w:rFonts w:cs="Arial"/>
          <w:b/>
          <w:color w:val="000000" w:themeColor="text1"/>
        </w:rPr>
      </w:pPr>
    </w:p>
    <w:p w:rsidR="002F5C5E" w:rsidRPr="00AB6079" w:rsidRDefault="00AB6079" w:rsidP="002F5C5E">
      <w:pPr>
        <w:rPr>
          <w:rFonts w:cs="Arial"/>
          <w:color w:val="000000" w:themeColor="text1"/>
        </w:rPr>
      </w:pPr>
      <w:r w:rsidRPr="00AB6079">
        <w:rPr>
          <w:rFonts w:cs="Arial"/>
          <w:color w:val="000000" w:themeColor="text1"/>
        </w:rPr>
        <w:t>10.1</w:t>
      </w:r>
      <w:r w:rsidRPr="00AB6079">
        <w:rPr>
          <w:rFonts w:cs="Arial"/>
          <w:color w:val="000000" w:themeColor="text1"/>
        </w:rPr>
        <w:tab/>
        <w:t>Please see the comments in Section 8 of the report above</w:t>
      </w:r>
    </w:p>
    <w:p w:rsidR="00AB6079" w:rsidRPr="00792A2B" w:rsidRDefault="00AB6079" w:rsidP="002F5C5E">
      <w:pPr>
        <w:rPr>
          <w:b/>
          <w:strike/>
          <w:szCs w:val="22"/>
        </w:rPr>
      </w:pPr>
    </w:p>
    <w:p w:rsidR="000B5251" w:rsidRPr="00792A2B" w:rsidRDefault="00C41065" w:rsidP="008243AB">
      <w:pPr>
        <w:ind w:left="567" w:hanging="567"/>
        <w:rPr>
          <w:b/>
          <w:szCs w:val="22"/>
        </w:rPr>
      </w:pPr>
      <w:r>
        <w:rPr>
          <w:b/>
          <w:szCs w:val="22"/>
        </w:rPr>
        <w:t>11</w:t>
      </w:r>
      <w:r w:rsidR="000B5251" w:rsidRPr="00792A2B">
        <w:rPr>
          <w:b/>
          <w:szCs w:val="22"/>
        </w:rPr>
        <w:t xml:space="preserve">. </w:t>
      </w:r>
      <w:r w:rsidR="008243AB">
        <w:rPr>
          <w:b/>
          <w:szCs w:val="22"/>
        </w:rPr>
        <w:tab/>
      </w:r>
      <w:r w:rsidR="000B5251" w:rsidRPr="00792A2B">
        <w:rPr>
          <w:b/>
          <w:szCs w:val="22"/>
        </w:rPr>
        <w:t xml:space="preserve">OTHER IMPLICATIONS: </w:t>
      </w:r>
    </w:p>
    <w:p w:rsidR="003C36EB" w:rsidRPr="00792A2B" w:rsidRDefault="003C36EB" w:rsidP="000B5251">
      <w:pPr>
        <w:rPr>
          <w:b/>
          <w:szCs w:val="22"/>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F5C5E" w:rsidRPr="009C1143" w:rsidTr="008243AB">
        <w:trPr>
          <w:trHeight w:val="334"/>
        </w:trPr>
        <w:tc>
          <w:tcPr>
            <w:tcW w:w="4678"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Pr="00792A2B" w:rsidRDefault="003C36EB"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2F5C5E" w:rsidRPr="00792A2B" w:rsidRDefault="002F5C5E" w:rsidP="00742402">
            <w:pPr>
              <w:rPr>
                <w:szCs w:val="22"/>
              </w:rPr>
            </w:pPr>
          </w:p>
        </w:tc>
        <w:tc>
          <w:tcPr>
            <w:tcW w:w="4394" w:type="dxa"/>
            <w:shd w:val="clear" w:color="auto" w:fill="auto"/>
          </w:tcPr>
          <w:p w:rsidR="002F5C5E" w:rsidRPr="00792A2B" w:rsidRDefault="002F5C5E" w:rsidP="00AC4A99">
            <w:pPr>
              <w:rPr>
                <w:szCs w:val="22"/>
              </w:rPr>
            </w:pPr>
          </w:p>
          <w:p w:rsidR="00F43895" w:rsidRDefault="00742402" w:rsidP="00AC4A99">
            <w:pPr>
              <w:rPr>
                <w:color w:val="000000" w:themeColor="text1"/>
                <w:szCs w:val="22"/>
              </w:rPr>
            </w:pPr>
            <w:r w:rsidRPr="00742402">
              <w:rPr>
                <w:color w:val="000000" w:themeColor="text1"/>
                <w:szCs w:val="22"/>
              </w:rPr>
              <w:t>None</w:t>
            </w:r>
          </w:p>
          <w:p w:rsidR="00742402" w:rsidRDefault="00742402" w:rsidP="00AC4A99">
            <w:pPr>
              <w:rPr>
                <w:color w:val="000000" w:themeColor="text1"/>
                <w:szCs w:val="22"/>
              </w:rPr>
            </w:pPr>
          </w:p>
          <w:p w:rsidR="00742402" w:rsidRDefault="00742402" w:rsidP="00AC4A99">
            <w:pPr>
              <w:rPr>
                <w:color w:val="000000" w:themeColor="text1"/>
                <w:szCs w:val="22"/>
              </w:rPr>
            </w:pPr>
            <w:r w:rsidRPr="00742402">
              <w:rPr>
                <w:color w:val="000000" w:themeColor="text1"/>
                <w:szCs w:val="22"/>
              </w:rPr>
              <w:t>None</w:t>
            </w:r>
          </w:p>
          <w:p w:rsidR="00742402" w:rsidRDefault="00742402" w:rsidP="00AC4A99">
            <w:pPr>
              <w:rPr>
                <w:color w:val="000000" w:themeColor="text1"/>
                <w:szCs w:val="22"/>
              </w:rPr>
            </w:pPr>
          </w:p>
          <w:p w:rsidR="00742402" w:rsidRDefault="00742402" w:rsidP="00AC4A99">
            <w:pPr>
              <w:rPr>
                <w:color w:val="000000" w:themeColor="text1"/>
                <w:szCs w:val="22"/>
              </w:rPr>
            </w:pPr>
            <w:r w:rsidRPr="00742402">
              <w:rPr>
                <w:color w:val="000000" w:themeColor="text1"/>
                <w:szCs w:val="22"/>
              </w:rPr>
              <w:t>None</w:t>
            </w:r>
          </w:p>
          <w:p w:rsidR="00742402" w:rsidRDefault="00742402" w:rsidP="00AC4A99">
            <w:pPr>
              <w:rPr>
                <w:color w:val="000000" w:themeColor="text1"/>
                <w:szCs w:val="22"/>
              </w:rPr>
            </w:pPr>
          </w:p>
          <w:p w:rsidR="00742402" w:rsidRDefault="00742402" w:rsidP="00AC4A99">
            <w:pPr>
              <w:rPr>
                <w:color w:val="000000" w:themeColor="text1"/>
                <w:szCs w:val="22"/>
              </w:rPr>
            </w:pPr>
            <w:r w:rsidRPr="00742402">
              <w:rPr>
                <w:color w:val="000000" w:themeColor="text1"/>
                <w:szCs w:val="22"/>
              </w:rPr>
              <w:t>None</w:t>
            </w:r>
          </w:p>
          <w:p w:rsidR="00742402" w:rsidRDefault="00742402" w:rsidP="00AC4A99">
            <w:pPr>
              <w:rPr>
                <w:color w:val="000000" w:themeColor="text1"/>
                <w:szCs w:val="22"/>
              </w:rPr>
            </w:pPr>
          </w:p>
          <w:p w:rsidR="00742402" w:rsidRPr="00742402" w:rsidRDefault="00742402" w:rsidP="00AC4A99">
            <w:pPr>
              <w:rPr>
                <w:color w:val="2E74B5" w:themeColor="accent1" w:themeShade="BF"/>
                <w:szCs w:val="22"/>
              </w:rPr>
            </w:pPr>
            <w:r w:rsidRPr="00742402">
              <w:rPr>
                <w:color w:val="000000" w:themeColor="text1"/>
                <w:szCs w:val="22"/>
              </w:rPr>
              <w:t>None</w:t>
            </w:r>
          </w:p>
        </w:tc>
      </w:tr>
    </w:tbl>
    <w:p w:rsidR="00C41065" w:rsidRDefault="00C41065" w:rsidP="002F5C5E">
      <w:pPr>
        <w:rPr>
          <w:b/>
          <w:szCs w:val="22"/>
        </w:rPr>
      </w:pPr>
    </w:p>
    <w:p w:rsidR="00095A0D" w:rsidRDefault="00C41065" w:rsidP="00095A0D">
      <w:pPr>
        <w:ind w:left="567" w:hanging="567"/>
        <w:rPr>
          <w:b/>
          <w:szCs w:val="22"/>
        </w:rPr>
      </w:pPr>
      <w:r>
        <w:rPr>
          <w:b/>
          <w:szCs w:val="22"/>
        </w:rPr>
        <w:t>12</w:t>
      </w:r>
      <w:r w:rsidR="00095A0D">
        <w:rPr>
          <w:b/>
          <w:szCs w:val="22"/>
        </w:rPr>
        <w:t>.</w:t>
      </w:r>
      <w:r w:rsidR="00095A0D">
        <w:rPr>
          <w:b/>
          <w:szCs w:val="22"/>
        </w:rPr>
        <w:tab/>
        <w:t>BACKGROUND DOCUMENTS</w:t>
      </w:r>
    </w:p>
    <w:p w:rsidR="00095A0D" w:rsidRPr="00095A0D" w:rsidRDefault="00095A0D" w:rsidP="002F5C5E">
      <w:pPr>
        <w:rPr>
          <w:szCs w:val="22"/>
        </w:rPr>
      </w:pPr>
    </w:p>
    <w:p w:rsidR="002F5C5E" w:rsidRPr="00095A0D" w:rsidRDefault="00095A0D" w:rsidP="00095A0D">
      <w:pPr>
        <w:ind w:left="567" w:hanging="567"/>
        <w:rPr>
          <w:szCs w:val="22"/>
        </w:rPr>
      </w:pPr>
      <w:r>
        <w:rPr>
          <w:szCs w:val="22"/>
        </w:rPr>
        <w:t>12.1</w:t>
      </w:r>
      <w:r>
        <w:rPr>
          <w:szCs w:val="22"/>
        </w:rPr>
        <w:tab/>
      </w:r>
      <w:r w:rsidR="000B5251" w:rsidRPr="00095A0D">
        <w:rPr>
          <w:szCs w:val="22"/>
        </w:rPr>
        <w:t>T</w:t>
      </w:r>
      <w:r w:rsidR="002F5C5E" w:rsidRPr="00095A0D">
        <w:rPr>
          <w:szCs w:val="22"/>
        </w:rPr>
        <w:t>here are no background papers to this report)</w:t>
      </w:r>
    </w:p>
    <w:p w:rsidR="000B5251" w:rsidRDefault="000B5251" w:rsidP="000B5251">
      <w:pPr>
        <w:rPr>
          <w:i/>
          <w:color w:val="0070C0"/>
          <w:szCs w:val="22"/>
        </w:rPr>
      </w:pPr>
    </w:p>
    <w:p w:rsidR="00095A0D" w:rsidRDefault="00C41065" w:rsidP="00095A0D">
      <w:pPr>
        <w:tabs>
          <w:tab w:val="left" w:pos="567"/>
        </w:tabs>
        <w:rPr>
          <w:b/>
        </w:rPr>
      </w:pPr>
      <w:r>
        <w:rPr>
          <w:b/>
        </w:rPr>
        <w:t>13</w:t>
      </w:r>
      <w:r w:rsidR="00095A0D">
        <w:rPr>
          <w:b/>
        </w:rPr>
        <w:t xml:space="preserve">. </w:t>
      </w:r>
      <w:r w:rsidR="00095A0D">
        <w:rPr>
          <w:b/>
        </w:rPr>
        <w:tab/>
        <w:t>APPENDICES</w:t>
      </w:r>
    </w:p>
    <w:p w:rsidR="00095A0D" w:rsidRDefault="00095A0D" w:rsidP="000B5251">
      <w:pPr>
        <w:rPr>
          <w:b/>
        </w:rPr>
      </w:pPr>
    </w:p>
    <w:p w:rsidR="001C5E49" w:rsidRPr="00095A0D" w:rsidRDefault="00095A0D" w:rsidP="00095A0D">
      <w:pPr>
        <w:tabs>
          <w:tab w:val="left" w:pos="567"/>
        </w:tabs>
      </w:pPr>
      <w:r>
        <w:t>13.1</w:t>
      </w:r>
      <w:r>
        <w:tab/>
      </w:r>
      <w:r w:rsidR="000B5251" w:rsidRPr="00095A0D">
        <w:t>There are no appendices to this report</w:t>
      </w:r>
    </w:p>
    <w:p w:rsidR="001C5E49" w:rsidRDefault="001C5E49" w:rsidP="001C5E49">
      <w:pPr>
        <w:tabs>
          <w:tab w:val="left" w:pos="2839"/>
        </w:tabs>
        <w:ind w:left="426" w:hanging="426"/>
        <w:rPr>
          <w:rFonts w:cs="Arial"/>
          <w:color w:val="0070C0"/>
        </w:rPr>
      </w:pPr>
    </w:p>
    <w:p w:rsidR="001C5E49" w:rsidRPr="00C41065" w:rsidRDefault="00C41065" w:rsidP="001C5E49">
      <w:pPr>
        <w:tabs>
          <w:tab w:val="left" w:pos="2839"/>
        </w:tabs>
        <w:rPr>
          <w:rFonts w:cs="Arial"/>
          <w:color w:val="000000" w:themeColor="text1"/>
        </w:rPr>
      </w:pPr>
      <w:r w:rsidRPr="00C41065">
        <w:rPr>
          <w:rFonts w:cs="Arial"/>
          <w:color w:val="000000" w:themeColor="text1"/>
        </w:rPr>
        <w:t>Jonathan Noad</w:t>
      </w:r>
    </w:p>
    <w:p w:rsidR="00C41065" w:rsidRPr="00C41065" w:rsidRDefault="00C41065" w:rsidP="001C5E49">
      <w:pPr>
        <w:tabs>
          <w:tab w:val="left" w:pos="2839"/>
        </w:tabs>
        <w:rPr>
          <w:rFonts w:cs="Arial"/>
          <w:color w:val="000000" w:themeColor="text1"/>
        </w:rPr>
      </w:pPr>
      <w:r w:rsidRPr="00C41065">
        <w:rPr>
          <w:rFonts w:cs="Arial"/>
          <w:color w:val="000000" w:themeColor="text1"/>
        </w:rPr>
        <w:t>Director of Planning and Property</w:t>
      </w:r>
    </w:p>
    <w:p w:rsidR="001C5E49" w:rsidRPr="007F1945" w:rsidRDefault="001C5E49" w:rsidP="001C5E49">
      <w:pPr>
        <w:tabs>
          <w:tab w:val="left" w:pos="2839"/>
        </w:tabs>
        <w:ind w:left="426" w:hanging="426"/>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gridCol w:w="1555"/>
        <w:gridCol w:w="2350"/>
      </w:tblGrid>
      <w:tr w:rsidR="001C5E49" w:rsidTr="00593837">
        <w:tc>
          <w:tcPr>
            <w:tcW w:w="5728" w:type="dxa"/>
            <w:shd w:val="clear" w:color="auto" w:fill="auto"/>
          </w:tcPr>
          <w:p w:rsidR="001C5E49" w:rsidRPr="0031059E" w:rsidRDefault="001C5E49" w:rsidP="00E2196F">
            <w:pPr>
              <w:rPr>
                <w:rFonts w:cs="Arial"/>
              </w:rPr>
            </w:pPr>
            <w:r w:rsidRPr="0031059E">
              <w:rPr>
                <w:rFonts w:cs="Arial"/>
              </w:rPr>
              <w:t>Report Author:</w:t>
            </w:r>
          </w:p>
        </w:tc>
        <w:tc>
          <w:tcPr>
            <w:tcW w:w="1555" w:type="dxa"/>
            <w:shd w:val="clear" w:color="auto" w:fill="auto"/>
          </w:tcPr>
          <w:p w:rsidR="001C5E49" w:rsidRPr="0031059E" w:rsidRDefault="001C5E49" w:rsidP="00E2196F">
            <w:pPr>
              <w:rPr>
                <w:rFonts w:cs="Arial"/>
              </w:rPr>
            </w:pPr>
            <w:r w:rsidRPr="0031059E">
              <w:rPr>
                <w:rFonts w:cs="Arial"/>
              </w:rPr>
              <w:t>Telephone:</w:t>
            </w:r>
          </w:p>
        </w:tc>
        <w:tc>
          <w:tcPr>
            <w:tcW w:w="2350" w:type="dxa"/>
            <w:shd w:val="clear" w:color="auto" w:fill="auto"/>
          </w:tcPr>
          <w:p w:rsidR="001C5E49" w:rsidRPr="0031059E" w:rsidRDefault="001C5E49" w:rsidP="00E2196F">
            <w:pPr>
              <w:rPr>
                <w:rFonts w:cs="Arial"/>
              </w:rPr>
            </w:pPr>
            <w:r w:rsidRPr="0031059E">
              <w:rPr>
                <w:rFonts w:cs="Arial"/>
              </w:rPr>
              <w:t>Date:</w:t>
            </w:r>
          </w:p>
        </w:tc>
      </w:tr>
      <w:tr w:rsidR="00C903AC" w:rsidTr="00593837">
        <w:tc>
          <w:tcPr>
            <w:tcW w:w="5728" w:type="dxa"/>
            <w:shd w:val="clear" w:color="auto" w:fill="auto"/>
          </w:tcPr>
          <w:p w:rsidR="00C903AC" w:rsidRPr="00C41065" w:rsidRDefault="00C41065" w:rsidP="00C903AC">
            <w:pPr>
              <w:rPr>
                <w:rFonts w:cs="Arial"/>
                <w:color w:val="000000" w:themeColor="text1"/>
              </w:rPr>
            </w:pPr>
            <w:r w:rsidRPr="00C41065">
              <w:rPr>
                <w:rFonts w:cs="Arial"/>
                <w:color w:val="000000" w:themeColor="text1"/>
              </w:rPr>
              <w:t>Jonathan Noad</w:t>
            </w:r>
          </w:p>
          <w:p w:rsidR="00C903AC" w:rsidRPr="00C41065" w:rsidRDefault="00C903AC" w:rsidP="00C903AC">
            <w:pPr>
              <w:ind w:left="-539" w:firstLine="539"/>
              <w:rPr>
                <w:rFonts w:cs="Arial"/>
                <w:color w:val="000000" w:themeColor="text1"/>
              </w:rPr>
            </w:pPr>
          </w:p>
        </w:tc>
        <w:tc>
          <w:tcPr>
            <w:tcW w:w="1555" w:type="dxa"/>
            <w:shd w:val="clear" w:color="auto" w:fill="auto"/>
          </w:tcPr>
          <w:p w:rsidR="00C903AC" w:rsidRPr="00C41065" w:rsidRDefault="00C41065" w:rsidP="00C903AC">
            <w:pPr>
              <w:rPr>
                <w:rFonts w:cs="Arial"/>
                <w:color w:val="000000" w:themeColor="text1"/>
              </w:rPr>
            </w:pPr>
            <w:r w:rsidRPr="00C41065">
              <w:rPr>
                <w:rFonts w:cs="Arial"/>
                <w:color w:val="000000" w:themeColor="text1"/>
              </w:rPr>
              <w:t>01772 625206</w:t>
            </w:r>
          </w:p>
        </w:tc>
        <w:tc>
          <w:tcPr>
            <w:tcW w:w="2350" w:type="dxa"/>
            <w:shd w:val="clear" w:color="auto" w:fill="auto"/>
          </w:tcPr>
          <w:p w:rsidR="00C903AC" w:rsidRPr="00C41065" w:rsidRDefault="00C41065" w:rsidP="00C903AC">
            <w:pPr>
              <w:rPr>
                <w:rFonts w:cs="Arial"/>
                <w:color w:val="000000" w:themeColor="text1"/>
              </w:rPr>
            </w:pPr>
            <w:r w:rsidRPr="00C41065">
              <w:rPr>
                <w:rFonts w:cs="Arial"/>
                <w:color w:val="000000" w:themeColor="text1"/>
              </w:rPr>
              <w:t>11</w:t>
            </w:r>
            <w:r w:rsidRPr="00C41065">
              <w:rPr>
                <w:rFonts w:cs="Arial"/>
                <w:color w:val="000000" w:themeColor="text1"/>
                <w:vertAlign w:val="superscript"/>
              </w:rPr>
              <w:t>th</w:t>
            </w:r>
            <w:r w:rsidRPr="00C41065">
              <w:rPr>
                <w:rFonts w:cs="Arial"/>
                <w:color w:val="000000" w:themeColor="text1"/>
              </w:rPr>
              <w:t xml:space="preserve"> April 2018</w:t>
            </w:r>
          </w:p>
        </w:tc>
      </w:tr>
    </w:tbl>
    <w:p w:rsidR="001C5E49" w:rsidRPr="009725FB" w:rsidRDefault="001C5E49"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36" w:rsidRDefault="003E7E36">
      <w:r>
        <w:separator/>
      </w:r>
    </w:p>
  </w:endnote>
  <w:endnote w:type="continuationSeparator" w:id="0">
    <w:p w:rsidR="003E7E36" w:rsidRDefault="003E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525580">
      <w:rPr>
        <w:noProof/>
        <w:sz w:val="24"/>
      </w:rPr>
      <w:t>2</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36" w:rsidRDefault="003E7E36">
      <w:r>
        <w:separator/>
      </w:r>
    </w:p>
  </w:footnote>
  <w:footnote w:type="continuationSeparator" w:id="0">
    <w:p w:rsidR="003E7E36" w:rsidRDefault="003E7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125CD2"/>
    <w:multiLevelType w:val="hybridMultilevel"/>
    <w:tmpl w:val="BAE22100"/>
    <w:lvl w:ilvl="0" w:tplc="1B8AF2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D1726D"/>
    <w:multiLevelType w:val="multilevel"/>
    <w:tmpl w:val="071C1846"/>
    <w:lvl w:ilvl="0">
      <w:start w:val="8"/>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15" w15:restartNumberingAfterBreak="0">
    <w:nsid w:val="536B7ACD"/>
    <w:multiLevelType w:val="hybridMultilevel"/>
    <w:tmpl w:val="37F2B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0"/>
  </w:num>
  <w:num w:numId="2">
    <w:abstractNumId w:val="13"/>
  </w:num>
  <w:num w:numId="3">
    <w:abstractNumId w:val="16"/>
  </w:num>
  <w:num w:numId="4">
    <w:abstractNumId w:val="8"/>
  </w:num>
  <w:num w:numId="5">
    <w:abstractNumId w:val="12"/>
  </w:num>
  <w:num w:numId="6">
    <w:abstractNumId w:val="6"/>
  </w:num>
  <w:num w:numId="7">
    <w:abstractNumId w:val="4"/>
  </w:num>
  <w:num w:numId="8">
    <w:abstractNumId w:val="5"/>
  </w:num>
  <w:num w:numId="9">
    <w:abstractNumId w:val="1"/>
  </w:num>
  <w:num w:numId="10">
    <w:abstractNumId w:val="2"/>
  </w:num>
  <w:num w:numId="11">
    <w:abstractNumId w:val="3"/>
  </w:num>
  <w:num w:numId="12">
    <w:abstractNumId w:val="9"/>
  </w:num>
  <w:num w:numId="13">
    <w:abstractNumId w:val="0"/>
  </w:num>
  <w:num w:numId="14">
    <w:abstractNumId w:val="17"/>
  </w:num>
  <w:num w:numId="15">
    <w:abstractNumId w:val="7"/>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95A0D"/>
    <w:rsid w:val="000B5251"/>
    <w:rsid w:val="000E10FE"/>
    <w:rsid w:val="000F2C8A"/>
    <w:rsid w:val="000F4A32"/>
    <w:rsid w:val="001544DD"/>
    <w:rsid w:val="001674E1"/>
    <w:rsid w:val="00184E1D"/>
    <w:rsid w:val="001938D6"/>
    <w:rsid w:val="00194459"/>
    <w:rsid w:val="001C135F"/>
    <w:rsid w:val="001C5E49"/>
    <w:rsid w:val="002162B3"/>
    <w:rsid w:val="002221BD"/>
    <w:rsid w:val="00222E89"/>
    <w:rsid w:val="0025591B"/>
    <w:rsid w:val="00275CBA"/>
    <w:rsid w:val="002820A5"/>
    <w:rsid w:val="002C4726"/>
    <w:rsid w:val="002E4FF4"/>
    <w:rsid w:val="002F5C5E"/>
    <w:rsid w:val="003240AF"/>
    <w:rsid w:val="00342AB1"/>
    <w:rsid w:val="00345C71"/>
    <w:rsid w:val="00386AAD"/>
    <w:rsid w:val="003902A2"/>
    <w:rsid w:val="003A1B3F"/>
    <w:rsid w:val="003A23D3"/>
    <w:rsid w:val="003A2919"/>
    <w:rsid w:val="003A6D19"/>
    <w:rsid w:val="003B1E6D"/>
    <w:rsid w:val="003C35EB"/>
    <w:rsid w:val="003C36EB"/>
    <w:rsid w:val="003E33E6"/>
    <w:rsid w:val="003E7E36"/>
    <w:rsid w:val="003F3195"/>
    <w:rsid w:val="003F5603"/>
    <w:rsid w:val="00405D4A"/>
    <w:rsid w:val="004218EA"/>
    <w:rsid w:val="00442C46"/>
    <w:rsid w:val="00474DA8"/>
    <w:rsid w:val="0047741D"/>
    <w:rsid w:val="004A45D4"/>
    <w:rsid w:val="004D7260"/>
    <w:rsid w:val="004E367E"/>
    <w:rsid w:val="004F23B3"/>
    <w:rsid w:val="004F4613"/>
    <w:rsid w:val="005041BB"/>
    <w:rsid w:val="00520F8A"/>
    <w:rsid w:val="00525580"/>
    <w:rsid w:val="00525728"/>
    <w:rsid w:val="00533525"/>
    <w:rsid w:val="00547120"/>
    <w:rsid w:val="00547481"/>
    <w:rsid w:val="00576A82"/>
    <w:rsid w:val="00593837"/>
    <w:rsid w:val="005A26AD"/>
    <w:rsid w:val="005B0C36"/>
    <w:rsid w:val="005B56FB"/>
    <w:rsid w:val="005D4F59"/>
    <w:rsid w:val="0060374B"/>
    <w:rsid w:val="006257D4"/>
    <w:rsid w:val="0062691B"/>
    <w:rsid w:val="00630F86"/>
    <w:rsid w:val="00631F5A"/>
    <w:rsid w:val="00633396"/>
    <w:rsid w:val="00645A0B"/>
    <w:rsid w:val="00650631"/>
    <w:rsid w:val="006555E6"/>
    <w:rsid w:val="006879CA"/>
    <w:rsid w:val="006A513F"/>
    <w:rsid w:val="006A7A1B"/>
    <w:rsid w:val="006B645E"/>
    <w:rsid w:val="006B7116"/>
    <w:rsid w:val="006C04C1"/>
    <w:rsid w:val="006C209A"/>
    <w:rsid w:val="006D6AF4"/>
    <w:rsid w:val="006E09FB"/>
    <w:rsid w:val="006F2214"/>
    <w:rsid w:val="006F76A3"/>
    <w:rsid w:val="00707E99"/>
    <w:rsid w:val="00712E3F"/>
    <w:rsid w:val="00714582"/>
    <w:rsid w:val="00742402"/>
    <w:rsid w:val="00772B9C"/>
    <w:rsid w:val="00792A2B"/>
    <w:rsid w:val="008243AB"/>
    <w:rsid w:val="00893AD2"/>
    <w:rsid w:val="008A2F6B"/>
    <w:rsid w:val="008A42E3"/>
    <w:rsid w:val="008A77AB"/>
    <w:rsid w:val="008B41C5"/>
    <w:rsid w:val="008C3B1A"/>
    <w:rsid w:val="008D623F"/>
    <w:rsid w:val="008F4B91"/>
    <w:rsid w:val="0090542C"/>
    <w:rsid w:val="009350CB"/>
    <w:rsid w:val="009538AE"/>
    <w:rsid w:val="00980267"/>
    <w:rsid w:val="00983CD5"/>
    <w:rsid w:val="00992E79"/>
    <w:rsid w:val="009A714A"/>
    <w:rsid w:val="009B1B4D"/>
    <w:rsid w:val="009C1143"/>
    <w:rsid w:val="009E48E0"/>
    <w:rsid w:val="009E4EAB"/>
    <w:rsid w:val="00A1406A"/>
    <w:rsid w:val="00A1647E"/>
    <w:rsid w:val="00A22D02"/>
    <w:rsid w:val="00A30426"/>
    <w:rsid w:val="00A4702E"/>
    <w:rsid w:val="00A50754"/>
    <w:rsid w:val="00A56681"/>
    <w:rsid w:val="00A76482"/>
    <w:rsid w:val="00AB6079"/>
    <w:rsid w:val="00AC4A99"/>
    <w:rsid w:val="00B05FE8"/>
    <w:rsid w:val="00B1788B"/>
    <w:rsid w:val="00B443DD"/>
    <w:rsid w:val="00B51DB8"/>
    <w:rsid w:val="00B62D79"/>
    <w:rsid w:val="00B70B91"/>
    <w:rsid w:val="00B716F5"/>
    <w:rsid w:val="00B72A06"/>
    <w:rsid w:val="00B766C4"/>
    <w:rsid w:val="00B92298"/>
    <w:rsid w:val="00BA2606"/>
    <w:rsid w:val="00BC6635"/>
    <w:rsid w:val="00BC6DB7"/>
    <w:rsid w:val="00BE2A3F"/>
    <w:rsid w:val="00C022F9"/>
    <w:rsid w:val="00C209E3"/>
    <w:rsid w:val="00C30128"/>
    <w:rsid w:val="00C3456F"/>
    <w:rsid w:val="00C41065"/>
    <w:rsid w:val="00C52450"/>
    <w:rsid w:val="00C64ED1"/>
    <w:rsid w:val="00C66BAA"/>
    <w:rsid w:val="00C903AC"/>
    <w:rsid w:val="00CB32DF"/>
    <w:rsid w:val="00CC3246"/>
    <w:rsid w:val="00CE3DA1"/>
    <w:rsid w:val="00CE4482"/>
    <w:rsid w:val="00CF37EA"/>
    <w:rsid w:val="00CF6B60"/>
    <w:rsid w:val="00D03328"/>
    <w:rsid w:val="00D035E2"/>
    <w:rsid w:val="00D36638"/>
    <w:rsid w:val="00D37BAE"/>
    <w:rsid w:val="00D772AB"/>
    <w:rsid w:val="00D90A00"/>
    <w:rsid w:val="00D91845"/>
    <w:rsid w:val="00D9371C"/>
    <w:rsid w:val="00DB3FD0"/>
    <w:rsid w:val="00DE5E12"/>
    <w:rsid w:val="00E2196F"/>
    <w:rsid w:val="00E2276E"/>
    <w:rsid w:val="00E41950"/>
    <w:rsid w:val="00E45995"/>
    <w:rsid w:val="00E569CB"/>
    <w:rsid w:val="00E577A2"/>
    <w:rsid w:val="00E60A53"/>
    <w:rsid w:val="00E61910"/>
    <w:rsid w:val="00E63940"/>
    <w:rsid w:val="00E733A5"/>
    <w:rsid w:val="00E753EC"/>
    <w:rsid w:val="00E84459"/>
    <w:rsid w:val="00E971A2"/>
    <w:rsid w:val="00EB2D32"/>
    <w:rsid w:val="00EB7C94"/>
    <w:rsid w:val="00ED257A"/>
    <w:rsid w:val="00F1021A"/>
    <w:rsid w:val="00F3057A"/>
    <w:rsid w:val="00F30E9C"/>
    <w:rsid w:val="00F43895"/>
    <w:rsid w:val="00F55E4D"/>
    <w:rsid w:val="00F61752"/>
    <w:rsid w:val="00F67F95"/>
    <w:rsid w:val="00F7734C"/>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5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5475-E361-4684-B3B6-83B8D773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5</Pages>
  <Words>1679</Words>
  <Characters>9070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Houlker, Andy</cp:lastModifiedBy>
  <cp:revision>2</cp:revision>
  <cp:lastPrinted>2018-03-14T15:24:00Z</cp:lastPrinted>
  <dcterms:created xsi:type="dcterms:W3CDTF">2018-04-12T12:17:00Z</dcterms:created>
  <dcterms:modified xsi:type="dcterms:W3CDTF">2018-04-12T12:17:00Z</dcterms:modified>
</cp:coreProperties>
</file>